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DB906" w14:textId="77777777" w:rsidR="00F84249" w:rsidRPr="00F84249" w:rsidRDefault="00F84249" w:rsidP="00F84249">
      <w:pPr>
        <w:jc w:val="center"/>
        <w:rPr>
          <w:rFonts w:ascii="Verdana" w:hAnsi="Verdana" w:cs="Calibri"/>
          <w:b/>
          <w:sz w:val="22"/>
          <w:szCs w:val="22"/>
        </w:rPr>
      </w:pPr>
      <w:r w:rsidRPr="00F84249">
        <w:rPr>
          <w:rFonts w:ascii="Verdana" w:hAnsi="Verdana" w:cs="Calibri"/>
          <w:b/>
          <w:sz w:val="22"/>
          <w:szCs w:val="22"/>
        </w:rPr>
        <w:t xml:space="preserve">AVVISO PUBBLICO </w:t>
      </w:r>
    </w:p>
    <w:p w14:paraId="0F7FED87" w14:textId="77777777" w:rsidR="00F84249" w:rsidRPr="00F84249" w:rsidRDefault="00F84249" w:rsidP="00F84249">
      <w:pPr>
        <w:jc w:val="center"/>
        <w:rPr>
          <w:rFonts w:ascii="Verdana" w:hAnsi="Verdana" w:cs="Calibri"/>
          <w:b/>
          <w:sz w:val="22"/>
          <w:szCs w:val="22"/>
        </w:rPr>
      </w:pPr>
      <w:r w:rsidRPr="00F84249">
        <w:rPr>
          <w:rFonts w:ascii="Verdana" w:hAnsi="Verdana" w:cs="Calibri"/>
          <w:b/>
          <w:sz w:val="22"/>
          <w:szCs w:val="22"/>
        </w:rPr>
        <w:t xml:space="preserve">PER L’ACQUISIZIONE DI MANIFESTAZIONI DI INTERESSE </w:t>
      </w:r>
    </w:p>
    <w:p w14:paraId="39C81F6C" w14:textId="77777777" w:rsidR="00F84249" w:rsidRPr="00F84249" w:rsidRDefault="00F84249" w:rsidP="00F84249">
      <w:pPr>
        <w:jc w:val="center"/>
        <w:rPr>
          <w:rFonts w:ascii="Verdana" w:hAnsi="Verdana" w:cs="Calibri"/>
          <w:b/>
          <w:sz w:val="22"/>
          <w:szCs w:val="22"/>
        </w:rPr>
      </w:pPr>
      <w:r w:rsidRPr="00F84249">
        <w:rPr>
          <w:rFonts w:ascii="Verdana" w:hAnsi="Verdana" w:cs="Calibri"/>
          <w:b/>
          <w:sz w:val="22"/>
          <w:szCs w:val="22"/>
        </w:rPr>
        <w:t xml:space="preserve">PER IL CONFERIMENTO DI INCARICO DI COMPONENTE DEL </w:t>
      </w:r>
    </w:p>
    <w:p w14:paraId="4D6A41BC" w14:textId="77777777" w:rsidR="00F84249" w:rsidRPr="00206A65" w:rsidRDefault="00F84249" w:rsidP="00F84249">
      <w:pPr>
        <w:jc w:val="center"/>
        <w:rPr>
          <w:rFonts w:ascii="Verdana" w:hAnsi="Verdana" w:cs="Calibri"/>
          <w:b/>
          <w:sz w:val="22"/>
          <w:szCs w:val="22"/>
          <w:u w:val="single"/>
        </w:rPr>
      </w:pPr>
      <w:r w:rsidRPr="00206A65">
        <w:rPr>
          <w:rFonts w:ascii="Verdana" w:hAnsi="Verdana" w:cs="Calibri"/>
          <w:b/>
          <w:sz w:val="22"/>
          <w:szCs w:val="22"/>
          <w:u w:val="single"/>
        </w:rPr>
        <w:t>NUCLEO DI VALUTAZIONE DELLE PERFORMANCE/PRESTAZIONI</w:t>
      </w:r>
    </w:p>
    <w:p w14:paraId="0068986D" w14:textId="77777777" w:rsidR="00F84249" w:rsidRPr="00F84249" w:rsidRDefault="00F84249" w:rsidP="00F84249">
      <w:pPr>
        <w:jc w:val="center"/>
        <w:rPr>
          <w:rFonts w:ascii="Verdana" w:hAnsi="Verdana" w:cs="Calibri"/>
          <w:b/>
          <w:sz w:val="22"/>
          <w:szCs w:val="22"/>
        </w:rPr>
      </w:pPr>
      <w:r w:rsidRPr="00F84249">
        <w:rPr>
          <w:rFonts w:ascii="Verdana" w:hAnsi="Verdana" w:cs="Calibri"/>
          <w:b/>
          <w:sz w:val="22"/>
          <w:szCs w:val="22"/>
        </w:rPr>
        <w:t>DELL’ATS DELL’INSUBRIA</w:t>
      </w:r>
    </w:p>
    <w:p w14:paraId="049E7EB2" w14:textId="77777777" w:rsidR="00F84249" w:rsidRPr="00F84249" w:rsidRDefault="00F84249" w:rsidP="0053115F">
      <w:pPr>
        <w:jc w:val="both"/>
        <w:rPr>
          <w:rFonts w:ascii="Verdana" w:hAnsi="Verdana" w:cs="Calibri"/>
          <w:b/>
          <w:caps/>
          <w:sz w:val="22"/>
          <w:szCs w:val="22"/>
        </w:rPr>
      </w:pPr>
    </w:p>
    <w:p w14:paraId="78D18552" w14:textId="77777777" w:rsidR="00F84249" w:rsidRPr="00F84249" w:rsidRDefault="00F84249" w:rsidP="0053115F">
      <w:pPr>
        <w:jc w:val="both"/>
        <w:rPr>
          <w:rFonts w:ascii="Verdana" w:hAnsi="Verdana" w:cs="Calibri"/>
          <w:b/>
          <w:caps/>
          <w:sz w:val="22"/>
          <w:szCs w:val="22"/>
        </w:rPr>
      </w:pPr>
    </w:p>
    <w:p w14:paraId="21243DED" w14:textId="49B56A37" w:rsidR="00A61D10" w:rsidRPr="00344DD7" w:rsidRDefault="00DD1AC3" w:rsidP="00E14E51">
      <w:pPr>
        <w:jc w:val="center"/>
        <w:rPr>
          <w:rFonts w:ascii="Verdana" w:hAnsi="Verdana" w:cs="Calibri"/>
          <w:b/>
          <w:sz w:val="22"/>
          <w:szCs w:val="22"/>
          <w:u w:val="single"/>
        </w:rPr>
      </w:pPr>
      <w:r w:rsidRPr="00344DD7">
        <w:rPr>
          <w:rFonts w:ascii="Verdana" w:hAnsi="Verdana" w:cs="Calibri"/>
          <w:b/>
          <w:sz w:val="22"/>
          <w:szCs w:val="22"/>
          <w:u w:val="single"/>
        </w:rPr>
        <w:t>PRECISAZIONI</w:t>
      </w:r>
      <w:r w:rsidR="00E14E51" w:rsidRPr="00344DD7">
        <w:rPr>
          <w:rFonts w:ascii="Verdana" w:hAnsi="Verdana" w:cs="Calibri"/>
          <w:b/>
          <w:sz w:val="22"/>
          <w:szCs w:val="22"/>
          <w:u w:val="single"/>
        </w:rPr>
        <w:t xml:space="preserve"> IN MATERIA DI</w:t>
      </w:r>
      <w:r w:rsidRPr="00344DD7">
        <w:rPr>
          <w:rFonts w:ascii="Verdana" w:hAnsi="Verdana" w:cs="Calibri"/>
          <w:b/>
          <w:sz w:val="22"/>
          <w:szCs w:val="22"/>
          <w:u w:val="single"/>
        </w:rPr>
        <w:t xml:space="preserve"> </w:t>
      </w:r>
      <w:r w:rsidR="00A61D10" w:rsidRPr="00344DD7">
        <w:rPr>
          <w:rFonts w:ascii="Verdana" w:hAnsi="Verdana" w:cs="Calibri"/>
          <w:b/>
          <w:sz w:val="22"/>
          <w:szCs w:val="22"/>
          <w:u w:val="single"/>
        </w:rPr>
        <w:t>I</w:t>
      </w:r>
      <w:r w:rsidR="00344DD7" w:rsidRPr="00344DD7">
        <w:rPr>
          <w:rFonts w:ascii="Verdana" w:hAnsi="Verdana" w:cs="Calibri"/>
          <w:b/>
          <w:sz w:val="22"/>
          <w:szCs w:val="22"/>
          <w:u w:val="single"/>
        </w:rPr>
        <w:t>NCOMPATIBILITA’</w:t>
      </w:r>
    </w:p>
    <w:p w14:paraId="06686A9E" w14:textId="77777777" w:rsidR="00A61D10" w:rsidRPr="00F84249" w:rsidRDefault="00A61D10" w:rsidP="00A61D10">
      <w:pPr>
        <w:jc w:val="both"/>
        <w:rPr>
          <w:rFonts w:ascii="Verdana" w:hAnsi="Verdana" w:cs="Calibri"/>
          <w:b/>
          <w:sz w:val="22"/>
          <w:szCs w:val="22"/>
        </w:rPr>
      </w:pPr>
    </w:p>
    <w:p w14:paraId="6ECEE7BE" w14:textId="2498A4F8" w:rsidR="00A61D10" w:rsidRDefault="00C005BE" w:rsidP="00A61D10">
      <w:pPr>
        <w:tabs>
          <w:tab w:val="left" w:pos="0"/>
        </w:tabs>
        <w:jc w:val="both"/>
        <w:rPr>
          <w:rFonts w:ascii="Verdana" w:hAnsi="Verdana" w:cs="Calibri"/>
          <w:sz w:val="22"/>
          <w:szCs w:val="22"/>
        </w:rPr>
      </w:pPr>
      <w:r>
        <w:rPr>
          <w:rFonts w:ascii="Verdana" w:hAnsi="Verdana" w:cs="Calibri"/>
          <w:sz w:val="22"/>
          <w:szCs w:val="22"/>
        </w:rPr>
        <w:t>Si riportano di seguito le previsioni normative in materia di inco</w:t>
      </w:r>
      <w:r w:rsidR="000E0543">
        <w:rPr>
          <w:rFonts w:ascii="Verdana" w:hAnsi="Verdana" w:cs="Calibri"/>
          <w:sz w:val="22"/>
          <w:szCs w:val="22"/>
        </w:rPr>
        <w:t>mpatibilità</w:t>
      </w:r>
      <w:r w:rsidR="000D36A1">
        <w:rPr>
          <w:rFonts w:ascii="Verdana" w:hAnsi="Verdana" w:cs="Calibri"/>
          <w:sz w:val="22"/>
          <w:szCs w:val="22"/>
        </w:rPr>
        <w:t>/conflitto di interessi</w:t>
      </w:r>
      <w:r w:rsidR="000E0543">
        <w:rPr>
          <w:rFonts w:ascii="Verdana" w:hAnsi="Verdana" w:cs="Calibri"/>
          <w:sz w:val="22"/>
          <w:szCs w:val="22"/>
        </w:rPr>
        <w:t xml:space="preserve"> all’incarico </w:t>
      </w:r>
      <w:r w:rsidR="00C31165">
        <w:rPr>
          <w:rFonts w:ascii="Verdana" w:hAnsi="Verdana" w:cs="Calibri"/>
          <w:sz w:val="22"/>
          <w:szCs w:val="22"/>
        </w:rPr>
        <w:t>di componente del Nucleo di Valutazione delle Per</w:t>
      </w:r>
      <w:r w:rsidR="00C6785B">
        <w:rPr>
          <w:rFonts w:ascii="Verdana" w:hAnsi="Verdana" w:cs="Calibri"/>
          <w:sz w:val="22"/>
          <w:szCs w:val="22"/>
        </w:rPr>
        <w:t xml:space="preserve">formance/Prestazioni </w:t>
      </w:r>
      <w:r w:rsidR="000D36A1">
        <w:rPr>
          <w:rFonts w:ascii="Verdana" w:hAnsi="Verdana" w:cs="Calibri"/>
          <w:sz w:val="22"/>
          <w:szCs w:val="22"/>
        </w:rPr>
        <w:t xml:space="preserve">previste dalla normativa vigente e </w:t>
      </w:r>
      <w:r w:rsidR="00710DBA">
        <w:rPr>
          <w:rFonts w:ascii="Verdana" w:hAnsi="Verdana" w:cs="Calibri"/>
          <w:sz w:val="22"/>
          <w:szCs w:val="22"/>
        </w:rPr>
        <w:t>richiamate nell’avviso pubblico per la raccolta delle manifestazioni di interesse</w:t>
      </w:r>
      <w:r w:rsidR="00A61D10" w:rsidRPr="004E774D">
        <w:rPr>
          <w:rFonts w:ascii="Verdana" w:hAnsi="Verdana" w:cs="Calibri"/>
          <w:sz w:val="22"/>
          <w:szCs w:val="22"/>
        </w:rPr>
        <w:t>, con particolare riferimento:</w:t>
      </w:r>
    </w:p>
    <w:p w14:paraId="24E311D8" w14:textId="77777777" w:rsidR="002E788E" w:rsidRPr="004E774D" w:rsidRDefault="002E788E" w:rsidP="00A61D10">
      <w:pPr>
        <w:tabs>
          <w:tab w:val="left" w:pos="0"/>
        </w:tabs>
        <w:jc w:val="both"/>
        <w:rPr>
          <w:rFonts w:ascii="Verdana" w:hAnsi="Verdana" w:cs="Calibri"/>
          <w:sz w:val="22"/>
          <w:szCs w:val="22"/>
        </w:rPr>
      </w:pPr>
    </w:p>
    <w:p w14:paraId="129D54A5" w14:textId="269CB4ED" w:rsidR="00A61D10" w:rsidRPr="000D36A1" w:rsidRDefault="00A61D10" w:rsidP="00A61D10">
      <w:pPr>
        <w:pStyle w:val="Paragrafoelenco"/>
        <w:numPr>
          <w:ilvl w:val="0"/>
          <w:numId w:val="1"/>
        </w:numPr>
        <w:tabs>
          <w:tab w:val="left" w:pos="0"/>
        </w:tabs>
        <w:jc w:val="both"/>
        <w:rPr>
          <w:rFonts w:ascii="Verdana" w:hAnsi="Verdana" w:cs="Calibri"/>
          <w:sz w:val="22"/>
          <w:szCs w:val="22"/>
          <w:u w:val="single"/>
        </w:rPr>
      </w:pPr>
      <w:r w:rsidRPr="000D36A1">
        <w:rPr>
          <w:rFonts w:ascii="Verdana" w:hAnsi="Verdana" w:cs="Calibri"/>
          <w:sz w:val="22"/>
          <w:szCs w:val="22"/>
          <w:u w:val="single"/>
        </w:rPr>
        <w:t>all’articolo 14, comma 8, del D.Lgs. 27 ottobre 2009, n.150</w:t>
      </w:r>
    </w:p>
    <w:p w14:paraId="68C56178" w14:textId="7F00515B" w:rsidR="002E788E" w:rsidRPr="002E788E" w:rsidRDefault="002E788E" w:rsidP="002E788E">
      <w:pPr>
        <w:pStyle w:val="Paragrafoelenco"/>
        <w:tabs>
          <w:tab w:val="left" w:pos="0"/>
        </w:tabs>
        <w:jc w:val="both"/>
        <w:rPr>
          <w:rFonts w:ascii="Verdana" w:hAnsi="Verdana"/>
          <w:b/>
          <w:bCs/>
          <w:sz w:val="22"/>
          <w:szCs w:val="22"/>
        </w:rPr>
      </w:pPr>
      <w:r>
        <w:rPr>
          <w:rFonts w:ascii="Verdana" w:hAnsi="Verdana" w:cs="Calibri"/>
          <w:sz w:val="22"/>
          <w:szCs w:val="22"/>
        </w:rPr>
        <w:t>“</w:t>
      </w:r>
      <w:r w:rsidRPr="002E788E">
        <w:rPr>
          <w:rFonts w:ascii="Verdana" w:hAnsi="Verdana" w:cs="Calibri"/>
          <w:i/>
          <w:iCs/>
          <w:sz w:val="22"/>
          <w:szCs w:val="22"/>
        </w:rPr>
        <w:t>I componenti dell'Organismo indipendente di valutazione non possono essere nominati tra i dipendenti dell'amministrazione interessata o tra soggetti che rivestano incarichi pubblici elettivi o cariche in partiti politici o in organizzazioni sindacali ovvero che abbiano rapporti continuativi di collaborazione o di consulenza con le predette organizzazioni, ovvero che abbiano rivestito simili incarichi o cariche o che abbiano avuto simili rapporti nei tre anni precedenti la designazione</w:t>
      </w:r>
      <w:r>
        <w:rPr>
          <w:rFonts w:ascii="Verdana" w:hAnsi="Verdana" w:cs="Calibri"/>
          <w:sz w:val="22"/>
          <w:szCs w:val="22"/>
        </w:rPr>
        <w:t>”:</w:t>
      </w:r>
    </w:p>
    <w:p w14:paraId="71FD653A" w14:textId="77777777" w:rsidR="002E788E" w:rsidRPr="002E788E" w:rsidRDefault="002E788E" w:rsidP="002E788E">
      <w:pPr>
        <w:tabs>
          <w:tab w:val="left" w:pos="0"/>
        </w:tabs>
        <w:jc w:val="both"/>
        <w:rPr>
          <w:rFonts w:ascii="Verdana" w:hAnsi="Verdana" w:cs="Calibri"/>
          <w:sz w:val="22"/>
          <w:szCs w:val="22"/>
        </w:rPr>
      </w:pPr>
    </w:p>
    <w:p w14:paraId="37CEB99E" w14:textId="1483F006" w:rsidR="00A45FE5" w:rsidRPr="000D36A1" w:rsidRDefault="00BC21AC" w:rsidP="00446FFE">
      <w:pPr>
        <w:pStyle w:val="Paragrafoelenco"/>
        <w:numPr>
          <w:ilvl w:val="0"/>
          <w:numId w:val="1"/>
        </w:numPr>
        <w:jc w:val="both"/>
        <w:rPr>
          <w:rFonts w:ascii="Verdana" w:hAnsi="Verdana"/>
          <w:sz w:val="22"/>
          <w:szCs w:val="22"/>
          <w:u w:val="single"/>
        </w:rPr>
      </w:pPr>
      <w:r w:rsidRPr="000D36A1">
        <w:rPr>
          <w:rFonts w:ascii="Verdana" w:hAnsi="Verdana"/>
          <w:sz w:val="22"/>
          <w:szCs w:val="22"/>
          <w:u w:val="single"/>
        </w:rPr>
        <w:t>all’articolo 2</w:t>
      </w:r>
      <w:r w:rsidRPr="000D36A1">
        <w:rPr>
          <w:rFonts w:ascii="Verdana" w:hAnsi="Verdana"/>
          <w:sz w:val="22"/>
          <w:szCs w:val="22"/>
          <w:u w:val="single"/>
        </w:rPr>
        <w:t xml:space="preserve"> (Requisiti di competenza, esperienza e integrità)</w:t>
      </w:r>
      <w:r w:rsidRPr="000D36A1">
        <w:rPr>
          <w:rFonts w:ascii="Verdana" w:hAnsi="Verdana"/>
          <w:sz w:val="22"/>
          <w:szCs w:val="22"/>
          <w:u w:val="single"/>
        </w:rPr>
        <w:t>,</w:t>
      </w:r>
      <w:r w:rsidRPr="000D36A1">
        <w:rPr>
          <w:rFonts w:ascii="Verdana" w:hAnsi="Verdana"/>
          <w:sz w:val="22"/>
          <w:szCs w:val="22"/>
          <w:u w:val="single"/>
        </w:rPr>
        <w:t xml:space="preserve"> punto 1</w:t>
      </w:r>
      <w:r w:rsidRPr="000D36A1">
        <w:rPr>
          <w:rFonts w:ascii="Verdana" w:hAnsi="Verdana"/>
          <w:sz w:val="22"/>
          <w:szCs w:val="22"/>
          <w:u w:val="single"/>
        </w:rPr>
        <w:t>,</w:t>
      </w:r>
      <w:r w:rsidRPr="000D36A1">
        <w:rPr>
          <w:rFonts w:ascii="Verdana" w:hAnsi="Verdana"/>
          <w:sz w:val="22"/>
          <w:szCs w:val="22"/>
          <w:u w:val="single"/>
        </w:rPr>
        <w:t xml:space="preserve"> lettera c)</w:t>
      </w:r>
      <w:r w:rsidRPr="000D36A1">
        <w:rPr>
          <w:rFonts w:ascii="Verdana" w:hAnsi="Verdana"/>
          <w:sz w:val="22"/>
          <w:szCs w:val="22"/>
          <w:u w:val="single"/>
        </w:rPr>
        <w:t>,</w:t>
      </w:r>
      <w:r w:rsidRPr="000D36A1">
        <w:rPr>
          <w:rFonts w:ascii="Verdana" w:hAnsi="Verdana"/>
          <w:sz w:val="22"/>
          <w:szCs w:val="22"/>
          <w:u w:val="single"/>
        </w:rPr>
        <w:t xml:space="preserve"> del </w:t>
      </w:r>
      <w:r w:rsidR="00A45FE5" w:rsidRPr="000D36A1">
        <w:rPr>
          <w:rFonts w:ascii="Verdana" w:hAnsi="Verdana"/>
          <w:sz w:val="22"/>
          <w:szCs w:val="22"/>
          <w:u w:val="single"/>
        </w:rPr>
        <w:t>D.P.C.M. 6 agosto 2020 come modificato dal D.P.C.M. 7 agosto 2023</w:t>
      </w:r>
      <w:r w:rsidR="00A45FE5" w:rsidRPr="000D36A1">
        <w:rPr>
          <w:rFonts w:ascii="Verdana" w:hAnsi="Verdana"/>
          <w:sz w:val="22"/>
          <w:szCs w:val="22"/>
          <w:u w:val="single"/>
        </w:rPr>
        <w:t xml:space="preserve"> </w:t>
      </w:r>
    </w:p>
    <w:p w14:paraId="00D1E856" w14:textId="4550143B" w:rsidR="00207CDD" w:rsidRPr="00207CDD" w:rsidRDefault="00981019" w:rsidP="00981019">
      <w:pPr>
        <w:pStyle w:val="Paragrafoelenco"/>
        <w:tabs>
          <w:tab w:val="left" w:pos="0"/>
        </w:tabs>
        <w:jc w:val="both"/>
        <w:rPr>
          <w:rFonts w:ascii="Verdana" w:hAnsi="Verdana" w:cs="Calibri"/>
          <w:sz w:val="22"/>
          <w:szCs w:val="22"/>
        </w:rPr>
      </w:pPr>
      <w:r>
        <w:rPr>
          <w:rFonts w:ascii="Verdana" w:hAnsi="Verdana" w:cs="Calibri"/>
          <w:sz w:val="22"/>
          <w:szCs w:val="22"/>
        </w:rPr>
        <w:t xml:space="preserve">requisiti </w:t>
      </w:r>
      <w:r w:rsidR="00207CDD" w:rsidRPr="00207CDD">
        <w:rPr>
          <w:rFonts w:ascii="Verdana" w:hAnsi="Verdana" w:cs="Calibri"/>
          <w:sz w:val="22"/>
          <w:szCs w:val="22"/>
        </w:rPr>
        <w:t>di integrità:</w:t>
      </w:r>
    </w:p>
    <w:p w14:paraId="0FCAD50E" w14:textId="4044BC28" w:rsidR="00207CDD" w:rsidRPr="00981019" w:rsidRDefault="00981019" w:rsidP="00207CDD">
      <w:pPr>
        <w:pStyle w:val="Paragrafoelenco"/>
        <w:jc w:val="both"/>
        <w:rPr>
          <w:rFonts w:ascii="Verdana" w:hAnsi="Verdana" w:cs="Calibri"/>
          <w:i/>
          <w:iCs/>
          <w:sz w:val="22"/>
          <w:szCs w:val="22"/>
        </w:rPr>
      </w:pPr>
      <w:r>
        <w:rPr>
          <w:rFonts w:ascii="Verdana" w:hAnsi="Verdana" w:cs="Calibri"/>
          <w:sz w:val="22"/>
          <w:szCs w:val="22"/>
        </w:rPr>
        <w:t>“</w:t>
      </w:r>
      <w:r w:rsidR="00207CDD" w:rsidRPr="00981019">
        <w:rPr>
          <w:rFonts w:ascii="Verdana" w:hAnsi="Verdana" w:cs="Calibri"/>
          <w:i/>
          <w:iCs/>
          <w:sz w:val="22"/>
          <w:szCs w:val="22"/>
        </w:rPr>
        <w:t>1.  non essere stati condannati con sentenza irrevocabile, salvi gli effetti della riabilitazione, per un delitto contro la pubblica amministrazione, contro la fede pubblica, contro il patrimonio, contro l'ambiente, contro l'ordine pubblico, contro l'economia pubblica ovvero per un delitto in materia tributaria;</w:t>
      </w:r>
    </w:p>
    <w:p w14:paraId="735C3B32" w14:textId="77777777" w:rsidR="00207CDD" w:rsidRPr="00981019" w:rsidRDefault="00207CDD" w:rsidP="00207CDD">
      <w:pPr>
        <w:pStyle w:val="Paragrafoelenco"/>
        <w:jc w:val="both"/>
        <w:rPr>
          <w:rFonts w:ascii="Verdana" w:hAnsi="Verdana" w:cs="Calibri"/>
          <w:i/>
          <w:iCs/>
          <w:sz w:val="22"/>
          <w:szCs w:val="22"/>
        </w:rPr>
      </w:pPr>
      <w:r w:rsidRPr="00981019">
        <w:rPr>
          <w:rFonts w:ascii="Verdana" w:hAnsi="Verdana" w:cs="Calibri"/>
          <w:i/>
          <w:iCs/>
          <w:sz w:val="22"/>
          <w:szCs w:val="22"/>
        </w:rPr>
        <w:t>2.  non essere stati sottoposti a misure di prevenzione disposte dall'autorità giudiziaria ai sensi del </w:t>
      </w:r>
      <w:hyperlink r:id="rId8" w:history="1">
        <w:r w:rsidRPr="00981019">
          <w:rPr>
            <w:rFonts w:ascii="Verdana" w:hAnsi="Verdana" w:cs="Calibri"/>
            <w:i/>
            <w:iCs/>
            <w:sz w:val="22"/>
            <w:szCs w:val="22"/>
          </w:rPr>
          <w:t>decreto legislativo 6 settembre 2011, n. 159</w:t>
        </w:r>
      </w:hyperlink>
      <w:r w:rsidRPr="00981019">
        <w:rPr>
          <w:rFonts w:ascii="Verdana" w:hAnsi="Verdana" w:cs="Calibri"/>
          <w:i/>
          <w:iCs/>
          <w:sz w:val="22"/>
          <w:szCs w:val="22"/>
        </w:rPr>
        <w:t>, concernente il </w:t>
      </w:r>
      <w:hyperlink r:id="rId9" w:history="1">
        <w:r w:rsidRPr="00981019">
          <w:rPr>
            <w:rFonts w:ascii="Verdana" w:hAnsi="Verdana" w:cs="Calibri"/>
            <w:i/>
            <w:iCs/>
            <w:sz w:val="22"/>
            <w:szCs w:val="22"/>
          </w:rPr>
          <w:t>codice delle leggi antimafia</w:t>
        </w:r>
      </w:hyperlink>
      <w:r w:rsidRPr="00981019">
        <w:rPr>
          <w:rFonts w:ascii="Verdana" w:hAnsi="Verdana" w:cs="Calibri"/>
          <w:i/>
          <w:iCs/>
          <w:sz w:val="22"/>
          <w:szCs w:val="22"/>
        </w:rPr>
        <w:t> e delle misure di prevenzione, nonché nuove disposizioni in materia di documentazione antimafia a norma degli </w:t>
      </w:r>
      <w:hyperlink r:id="rId10" w:history="1">
        <w:r w:rsidRPr="00981019">
          <w:rPr>
            <w:rFonts w:ascii="Verdana" w:hAnsi="Verdana" w:cs="Calibri"/>
            <w:i/>
            <w:iCs/>
            <w:sz w:val="22"/>
            <w:szCs w:val="22"/>
          </w:rPr>
          <w:t>articoli 1</w:t>
        </w:r>
      </w:hyperlink>
      <w:r w:rsidRPr="00981019">
        <w:rPr>
          <w:rFonts w:ascii="Verdana" w:hAnsi="Verdana" w:cs="Calibri"/>
          <w:i/>
          <w:iCs/>
          <w:sz w:val="22"/>
          <w:szCs w:val="22"/>
        </w:rPr>
        <w:t> e </w:t>
      </w:r>
      <w:hyperlink r:id="rId11" w:history="1">
        <w:r w:rsidRPr="00981019">
          <w:rPr>
            <w:rFonts w:ascii="Verdana" w:hAnsi="Verdana" w:cs="Calibri"/>
            <w:i/>
            <w:iCs/>
            <w:sz w:val="22"/>
            <w:szCs w:val="22"/>
          </w:rPr>
          <w:t>2 della legge 13 agosto 2010, n. 136</w:t>
        </w:r>
      </w:hyperlink>
      <w:r w:rsidRPr="00981019">
        <w:rPr>
          <w:rFonts w:ascii="Verdana" w:hAnsi="Verdana" w:cs="Calibri"/>
          <w:i/>
          <w:iCs/>
          <w:sz w:val="22"/>
          <w:szCs w:val="22"/>
        </w:rPr>
        <w:t>, salvi gli effetti della riabilitazione;</w:t>
      </w:r>
    </w:p>
    <w:p w14:paraId="3457F2F3" w14:textId="77777777" w:rsidR="00207CDD" w:rsidRPr="00981019" w:rsidRDefault="00207CDD" w:rsidP="00207CDD">
      <w:pPr>
        <w:pStyle w:val="Paragrafoelenco"/>
        <w:jc w:val="both"/>
        <w:rPr>
          <w:rFonts w:ascii="Verdana" w:hAnsi="Verdana" w:cs="Calibri"/>
          <w:i/>
          <w:iCs/>
          <w:sz w:val="22"/>
          <w:szCs w:val="22"/>
        </w:rPr>
      </w:pPr>
      <w:r w:rsidRPr="00981019">
        <w:rPr>
          <w:rFonts w:ascii="Verdana" w:hAnsi="Verdana" w:cs="Calibri"/>
          <w:i/>
          <w:iCs/>
          <w:sz w:val="22"/>
          <w:szCs w:val="22"/>
        </w:rPr>
        <w:t>3.  non trovarsi in stato di interdizione anche temporanea o di sospensione dagli uffici direttivi delle persone giuridiche e delle imprese;</w:t>
      </w:r>
    </w:p>
    <w:p w14:paraId="2D102739" w14:textId="77777777" w:rsidR="00207CDD" w:rsidRPr="00981019" w:rsidRDefault="00207CDD" w:rsidP="00207CDD">
      <w:pPr>
        <w:pStyle w:val="Paragrafoelenco"/>
        <w:jc w:val="both"/>
        <w:rPr>
          <w:rFonts w:ascii="Verdana" w:hAnsi="Verdana" w:cs="Calibri"/>
          <w:i/>
          <w:iCs/>
          <w:sz w:val="22"/>
          <w:szCs w:val="22"/>
        </w:rPr>
      </w:pPr>
      <w:r w:rsidRPr="00981019">
        <w:rPr>
          <w:rFonts w:ascii="Verdana" w:hAnsi="Verdana" w:cs="Calibri"/>
          <w:i/>
          <w:iCs/>
          <w:sz w:val="22"/>
          <w:szCs w:val="22"/>
        </w:rPr>
        <w:t>4.  non essere stati condannati con sentenza irrevocabile, salvi gli effetti della riabilitazione, alla reclusione per un tempo superiore a due anni per qualunque delitto non colposo;</w:t>
      </w:r>
    </w:p>
    <w:p w14:paraId="5FBD9277" w14:textId="18B9A12A" w:rsidR="00207CDD" w:rsidRDefault="00207CDD" w:rsidP="00207CDD">
      <w:pPr>
        <w:pStyle w:val="Paragrafoelenco"/>
        <w:jc w:val="both"/>
        <w:rPr>
          <w:rFonts w:ascii="Verdana" w:hAnsi="Verdana" w:cs="Calibri"/>
          <w:sz w:val="22"/>
          <w:szCs w:val="22"/>
        </w:rPr>
      </w:pPr>
      <w:r w:rsidRPr="00981019">
        <w:rPr>
          <w:rFonts w:ascii="Verdana" w:hAnsi="Verdana" w:cs="Calibri"/>
          <w:i/>
          <w:iCs/>
          <w:sz w:val="22"/>
          <w:szCs w:val="22"/>
        </w:rPr>
        <w:t>5.  non essere stati motivatamente rimossi dall'incarico di componente dell'OIV prima della scadenza del mandato</w:t>
      </w:r>
      <w:r w:rsidR="00981019">
        <w:rPr>
          <w:rFonts w:ascii="Verdana" w:hAnsi="Verdana" w:cs="Calibri"/>
          <w:sz w:val="22"/>
          <w:szCs w:val="22"/>
        </w:rPr>
        <w:t>”</w:t>
      </w:r>
      <w:r w:rsidR="00EC244A">
        <w:rPr>
          <w:rFonts w:ascii="Verdana" w:hAnsi="Verdana" w:cs="Calibri"/>
          <w:sz w:val="22"/>
          <w:szCs w:val="22"/>
        </w:rPr>
        <w:t>.</w:t>
      </w:r>
    </w:p>
    <w:p w14:paraId="3FC15DBF" w14:textId="3DA56E63" w:rsidR="00EC244A" w:rsidRPr="004E774D" w:rsidRDefault="00EC244A" w:rsidP="00EC244A">
      <w:pPr>
        <w:pStyle w:val="provvr0"/>
        <w:jc w:val="both"/>
        <w:rPr>
          <w:rFonts w:ascii="Verdana" w:hAnsi="Verdana"/>
          <w:color w:val="000000"/>
          <w:sz w:val="22"/>
          <w:szCs w:val="22"/>
        </w:rPr>
      </w:pPr>
      <w:r>
        <w:rPr>
          <w:rFonts w:ascii="Verdana" w:hAnsi="Verdana"/>
          <w:color w:val="000000"/>
          <w:sz w:val="22"/>
          <w:szCs w:val="22"/>
        </w:rPr>
        <w:t>“</w:t>
      </w:r>
      <w:r w:rsidRPr="00EC244A">
        <w:rPr>
          <w:rFonts w:ascii="Verdana" w:hAnsi="Verdana"/>
          <w:i/>
          <w:iCs/>
          <w:color w:val="000000"/>
          <w:sz w:val="22"/>
          <w:szCs w:val="22"/>
        </w:rPr>
        <w:t>Le cause di esclusione di cui ai punti da 1 a 4 della presente lettera operano anche nel caso in cui la sentenza definitiva disponga l'applicazione della pena su richiesta, ai sensi dell'art. 444 del codice di procedura penale salvo il caso dell'estinzione del reato</w:t>
      </w:r>
      <w:r>
        <w:rPr>
          <w:rFonts w:ascii="Verdana" w:hAnsi="Verdana"/>
          <w:color w:val="000000"/>
          <w:sz w:val="22"/>
          <w:szCs w:val="22"/>
        </w:rPr>
        <w:t>”.</w:t>
      </w:r>
    </w:p>
    <w:p w14:paraId="7679E706" w14:textId="70174F5C" w:rsidR="00A61D10" w:rsidRPr="004E774D" w:rsidRDefault="00A61D10" w:rsidP="00A61D10">
      <w:pPr>
        <w:pStyle w:val="Paragrafoelenco"/>
        <w:numPr>
          <w:ilvl w:val="0"/>
          <w:numId w:val="1"/>
        </w:numPr>
        <w:tabs>
          <w:tab w:val="left" w:pos="0"/>
        </w:tabs>
        <w:jc w:val="both"/>
        <w:rPr>
          <w:rFonts w:ascii="Verdana" w:hAnsi="Verdana" w:cs="Calibri"/>
          <w:sz w:val="22"/>
          <w:szCs w:val="22"/>
        </w:rPr>
      </w:pPr>
      <w:r w:rsidRPr="00690034">
        <w:rPr>
          <w:rFonts w:ascii="Verdana" w:hAnsi="Verdana" w:cs="Calibri"/>
          <w:sz w:val="22"/>
          <w:szCs w:val="22"/>
          <w:u w:val="single"/>
        </w:rPr>
        <w:t>alla D.G.R. 29 giugno 2021, n. XI/4942</w:t>
      </w:r>
    </w:p>
    <w:p w14:paraId="3C4BFED3" w14:textId="2D087C53" w:rsidR="00EC244A" w:rsidRPr="007C79A1" w:rsidRDefault="007C79A1" w:rsidP="007C79A1">
      <w:pPr>
        <w:pStyle w:val="Paragrafoelenco"/>
        <w:tabs>
          <w:tab w:val="left" w:pos="0"/>
        </w:tabs>
        <w:jc w:val="both"/>
        <w:rPr>
          <w:rFonts w:ascii="Verdana" w:hAnsi="Verdana" w:cs="Calibri"/>
          <w:i/>
          <w:iCs/>
          <w:sz w:val="22"/>
          <w:szCs w:val="22"/>
        </w:rPr>
      </w:pPr>
      <w:r>
        <w:rPr>
          <w:rFonts w:ascii="Verdana" w:hAnsi="Verdana" w:cs="Calibri"/>
          <w:sz w:val="22"/>
          <w:szCs w:val="22"/>
        </w:rPr>
        <w:t>“</w:t>
      </w:r>
      <w:r w:rsidR="00EC244A" w:rsidRPr="007C79A1">
        <w:rPr>
          <w:rFonts w:ascii="Verdana" w:hAnsi="Verdana" w:cs="Calibri"/>
          <w:i/>
          <w:iCs/>
          <w:sz w:val="22"/>
          <w:szCs w:val="22"/>
        </w:rPr>
        <w:t>Non possono essere nominati come componenti dei nuclei di valutazione i soggetti che si trovano in una delle situazioni di incompatibilità/conflitto di interessi previste dalla normativa vigente.</w:t>
      </w:r>
    </w:p>
    <w:p w14:paraId="4A7BB4FA" w14:textId="5CBE071A" w:rsidR="00EC244A" w:rsidRPr="00EC244A" w:rsidRDefault="00EC244A" w:rsidP="007C79A1">
      <w:pPr>
        <w:pStyle w:val="Paragrafoelenco"/>
        <w:tabs>
          <w:tab w:val="left" w:pos="0"/>
        </w:tabs>
        <w:jc w:val="both"/>
        <w:rPr>
          <w:rFonts w:ascii="Verdana" w:hAnsi="Verdana" w:cs="Calibri"/>
          <w:sz w:val="22"/>
          <w:szCs w:val="22"/>
        </w:rPr>
      </w:pPr>
      <w:r w:rsidRPr="007C79A1">
        <w:rPr>
          <w:rFonts w:ascii="Verdana" w:hAnsi="Verdana" w:cs="Calibri"/>
          <w:i/>
          <w:iCs/>
          <w:sz w:val="22"/>
          <w:szCs w:val="22"/>
        </w:rPr>
        <w:t xml:space="preserve">Non possono inoltre essere nominati come membri dei Nuclei di Valutazione i direttori generali, i direttori amministrativi, i direttori sanitari ed i direttori </w:t>
      </w:r>
      <w:r w:rsidRPr="007C79A1">
        <w:rPr>
          <w:rFonts w:ascii="Verdana" w:hAnsi="Verdana" w:cs="Calibri"/>
          <w:i/>
          <w:iCs/>
          <w:sz w:val="22"/>
          <w:szCs w:val="22"/>
        </w:rPr>
        <w:lastRenderedPageBreak/>
        <w:t>sociosanitari delle strutture sanitarie pubbliche e delle Fondazioni IRCCS di diritto pubblico</w:t>
      </w:r>
      <w:r w:rsidR="007C79A1">
        <w:rPr>
          <w:rFonts w:ascii="Verdana" w:hAnsi="Verdana" w:cs="Calibri"/>
          <w:sz w:val="22"/>
          <w:szCs w:val="22"/>
        </w:rPr>
        <w:t>”</w:t>
      </w:r>
      <w:r w:rsidRPr="00EC244A">
        <w:rPr>
          <w:rFonts w:ascii="Verdana" w:hAnsi="Verdana" w:cs="Calibri"/>
          <w:sz w:val="22"/>
          <w:szCs w:val="22"/>
        </w:rPr>
        <w:t>.</w:t>
      </w:r>
    </w:p>
    <w:p w14:paraId="3DA0C073" w14:textId="77777777" w:rsidR="00A61D10" w:rsidRPr="004E774D" w:rsidRDefault="00A61D10" w:rsidP="00A61D10">
      <w:pPr>
        <w:pStyle w:val="Paragrafoelenco"/>
        <w:tabs>
          <w:tab w:val="left" w:pos="0"/>
        </w:tabs>
        <w:jc w:val="both"/>
        <w:rPr>
          <w:rFonts w:ascii="Verdana" w:hAnsi="Verdana" w:cs="Calibri"/>
          <w:sz w:val="22"/>
          <w:szCs w:val="22"/>
        </w:rPr>
      </w:pPr>
    </w:p>
    <w:p w14:paraId="3BA5B167" w14:textId="77777777" w:rsidR="00A61D10" w:rsidRPr="004E774D" w:rsidRDefault="00A61D10" w:rsidP="00A61D10">
      <w:pPr>
        <w:tabs>
          <w:tab w:val="left" w:pos="0"/>
        </w:tabs>
        <w:jc w:val="both"/>
        <w:rPr>
          <w:rFonts w:ascii="Verdana" w:hAnsi="Verdana" w:cs="Calibri"/>
          <w:sz w:val="22"/>
          <w:szCs w:val="22"/>
        </w:rPr>
      </w:pPr>
    </w:p>
    <w:p w14:paraId="53F78B3E" w14:textId="7D8CC8CD" w:rsidR="00A61D10" w:rsidRPr="004E774D" w:rsidRDefault="00A61D10" w:rsidP="00A61D10">
      <w:pPr>
        <w:jc w:val="both"/>
        <w:rPr>
          <w:rFonts w:ascii="Verdana" w:hAnsi="Verdana" w:cs="Calibri"/>
          <w:sz w:val="22"/>
          <w:szCs w:val="22"/>
        </w:rPr>
      </w:pPr>
      <w:r w:rsidRPr="004E774D">
        <w:rPr>
          <w:rFonts w:ascii="Verdana" w:hAnsi="Verdana" w:cs="Calibri"/>
          <w:sz w:val="22"/>
          <w:szCs w:val="22"/>
        </w:rPr>
        <w:t>L’assenza di situazioni di incompatibilità normativamente previste d</w:t>
      </w:r>
      <w:r w:rsidR="006B27FA">
        <w:rPr>
          <w:rFonts w:ascii="Verdana" w:hAnsi="Verdana" w:cs="Calibri"/>
          <w:sz w:val="22"/>
          <w:szCs w:val="22"/>
        </w:rPr>
        <w:t>eve</w:t>
      </w:r>
      <w:r w:rsidRPr="004E774D">
        <w:rPr>
          <w:rFonts w:ascii="Verdana" w:hAnsi="Verdana" w:cs="Calibri"/>
          <w:sz w:val="22"/>
          <w:szCs w:val="22"/>
        </w:rPr>
        <w:t xml:space="preserve"> essere esplicitamente dichiarata nella domanda di partecipazione.</w:t>
      </w:r>
    </w:p>
    <w:p w14:paraId="5AA5BAD0" w14:textId="77777777" w:rsidR="00A61D10" w:rsidRPr="004E774D" w:rsidRDefault="00A61D10" w:rsidP="00A61D10">
      <w:pPr>
        <w:jc w:val="both"/>
        <w:rPr>
          <w:rFonts w:ascii="Verdana" w:hAnsi="Verdana" w:cs="Calibri"/>
          <w:sz w:val="22"/>
          <w:szCs w:val="22"/>
        </w:rPr>
      </w:pPr>
    </w:p>
    <w:p w14:paraId="22FCAFFB" w14:textId="77777777" w:rsidR="00A61D10" w:rsidRPr="001B6EB1" w:rsidRDefault="00A61D10" w:rsidP="00A61D10">
      <w:pPr>
        <w:jc w:val="both"/>
        <w:rPr>
          <w:rFonts w:ascii="Calibri" w:hAnsi="Calibri" w:cs="Calibri"/>
          <w:sz w:val="22"/>
          <w:szCs w:val="22"/>
        </w:rPr>
      </w:pPr>
    </w:p>
    <w:p w14:paraId="44CCD2C9" w14:textId="77777777" w:rsidR="00E50D48" w:rsidRPr="00D734BC" w:rsidRDefault="00E50D48" w:rsidP="00D734BC">
      <w:pPr>
        <w:tabs>
          <w:tab w:val="left" w:pos="0"/>
        </w:tabs>
        <w:jc w:val="both"/>
        <w:rPr>
          <w:rFonts w:ascii="Verdana" w:hAnsi="Verdana" w:cs="Calibri"/>
          <w:b/>
          <w:bCs/>
          <w:sz w:val="22"/>
          <w:szCs w:val="22"/>
        </w:rPr>
      </w:pPr>
    </w:p>
    <w:p w14:paraId="5CB35C57" w14:textId="77777777" w:rsidR="00D734BC" w:rsidRDefault="00D734BC" w:rsidP="00D734BC">
      <w:pPr>
        <w:tabs>
          <w:tab w:val="left" w:pos="0"/>
        </w:tabs>
        <w:jc w:val="both"/>
        <w:rPr>
          <w:rFonts w:ascii="Verdana" w:hAnsi="Verdana"/>
          <w:b/>
          <w:bCs/>
          <w:sz w:val="22"/>
          <w:szCs w:val="22"/>
        </w:rPr>
      </w:pPr>
    </w:p>
    <w:p w14:paraId="5377BA4D" w14:textId="77777777" w:rsidR="004E774D" w:rsidRPr="0053115F" w:rsidRDefault="004E774D" w:rsidP="004E774D">
      <w:pPr>
        <w:jc w:val="both"/>
        <w:rPr>
          <w:rFonts w:ascii="Verdana" w:hAnsi="Verdana"/>
          <w:b/>
          <w:bCs/>
          <w:sz w:val="22"/>
          <w:szCs w:val="22"/>
        </w:rPr>
      </w:pPr>
    </w:p>
    <w:p w14:paraId="2FCA9243" w14:textId="6C9E97BB" w:rsidR="00A61D10" w:rsidRDefault="00A61D10" w:rsidP="00D734BC">
      <w:pPr>
        <w:jc w:val="both"/>
        <w:rPr>
          <w:rFonts w:ascii="Verdana" w:hAnsi="Verdana" w:cs="Calibri"/>
          <w:sz w:val="22"/>
          <w:szCs w:val="22"/>
        </w:rPr>
      </w:pPr>
    </w:p>
    <w:sectPr w:rsidR="00A61D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D7CEE"/>
    <w:multiLevelType w:val="hybridMultilevel"/>
    <w:tmpl w:val="4954B1CE"/>
    <w:lvl w:ilvl="0" w:tplc="04100011">
      <w:start w:val="1"/>
      <w:numFmt w:val="decimal"/>
      <w:lvlText w:val="%1)"/>
      <w:lvlJc w:val="left"/>
      <w:pPr>
        <w:tabs>
          <w:tab w:val="num" w:pos="644"/>
        </w:tabs>
        <w:ind w:left="644" w:hanging="360"/>
      </w:pPr>
    </w:lvl>
    <w:lvl w:ilvl="1" w:tplc="0D46AAE6">
      <w:start w:val="1"/>
      <w:numFmt w:val="bullet"/>
      <w:lvlText w:val=""/>
      <w:lvlJc w:val="left"/>
      <w:pPr>
        <w:tabs>
          <w:tab w:val="num" w:pos="1440"/>
        </w:tabs>
        <w:ind w:left="1440" w:hanging="360"/>
      </w:pPr>
      <w:rPr>
        <w:rFonts w:ascii="Symbol" w:hAnsi="Symbol" w:hint="default"/>
      </w:rPr>
    </w:lvl>
    <w:lvl w:ilvl="2" w:tplc="D2884172">
      <w:start w:val="4"/>
      <w:numFmt w:val="bullet"/>
      <w:lvlText w:val=""/>
      <w:lvlJc w:val="left"/>
      <w:pPr>
        <w:tabs>
          <w:tab w:val="num" w:pos="2340"/>
        </w:tabs>
        <w:ind w:left="2340" w:hanging="360"/>
      </w:pPr>
      <w:rPr>
        <w:rFonts w:ascii="Webdings" w:eastAsia="Times New Roman" w:hAnsi="Webdings" w:cs="Aria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3033B82"/>
    <w:multiLevelType w:val="hybridMultilevel"/>
    <w:tmpl w:val="603EBD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B843D8C"/>
    <w:multiLevelType w:val="hybridMultilevel"/>
    <w:tmpl w:val="A3C67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5839736">
    <w:abstractNumId w:val="2"/>
  </w:num>
  <w:num w:numId="2" w16cid:durableId="1420325093">
    <w:abstractNumId w:val="1"/>
  </w:num>
  <w:num w:numId="3" w16cid:durableId="634331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10"/>
    <w:rsid w:val="00061372"/>
    <w:rsid w:val="00063F4E"/>
    <w:rsid w:val="000A21E2"/>
    <w:rsid w:val="000A3B2C"/>
    <w:rsid w:val="000D36A1"/>
    <w:rsid w:val="000E0543"/>
    <w:rsid w:val="000E32FF"/>
    <w:rsid w:val="00206A65"/>
    <w:rsid w:val="00207CDD"/>
    <w:rsid w:val="00280BFE"/>
    <w:rsid w:val="002E788E"/>
    <w:rsid w:val="002F219D"/>
    <w:rsid w:val="00344DD7"/>
    <w:rsid w:val="003E13BE"/>
    <w:rsid w:val="004C70A3"/>
    <w:rsid w:val="004E774D"/>
    <w:rsid w:val="0053115F"/>
    <w:rsid w:val="0055152C"/>
    <w:rsid w:val="00622746"/>
    <w:rsid w:val="0066690D"/>
    <w:rsid w:val="00690034"/>
    <w:rsid w:val="0069623E"/>
    <w:rsid w:val="006B27FA"/>
    <w:rsid w:val="006D2003"/>
    <w:rsid w:val="00710DBA"/>
    <w:rsid w:val="007C79A1"/>
    <w:rsid w:val="008A6B14"/>
    <w:rsid w:val="00927C97"/>
    <w:rsid w:val="009553BE"/>
    <w:rsid w:val="00981019"/>
    <w:rsid w:val="00A274BD"/>
    <w:rsid w:val="00A45FE5"/>
    <w:rsid w:val="00A61D10"/>
    <w:rsid w:val="00B228CC"/>
    <w:rsid w:val="00B66845"/>
    <w:rsid w:val="00BC21AC"/>
    <w:rsid w:val="00C005BE"/>
    <w:rsid w:val="00C31165"/>
    <w:rsid w:val="00C437BD"/>
    <w:rsid w:val="00C6785B"/>
    <w:rsid w:val="00D734BC"/>
    <w:rsid w:val="00D85F38"/>
    <w:rsid w:val="00DD1AC3"/>
    <w:rsid w:val="00E12EFE"/>
    <w:rsid w:val="00E14E51"/>
    <w:rsid w:val="00E503C4"/>
    <w:rsid w:val="00E50D48"/>
    <w:rsid w:val="00EC244A"/>
    <w:rsid w:val="00F842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6D689"/>
  <w15:chartTrackingRefBased/>
  <w15:docId w15:val="{CB6AF36B-DDF1-4F29-80E4-4617E724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1D10"/>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A61D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61D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61D1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61D1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61D1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61D1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61D1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61D1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61D1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61D1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61D1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61D1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61D1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61D1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61D10"/>
    <w:rPr>
      <w:rFonts w:ascii="Times New Roman" w:eastAsiaTheme="majorEastAsia" w:hAnsi="Times New Roman" w:cstheme="majorBidi"/>
      <w:i/>
      <w:iCs/>
      <w:color w:val="595959" w:themeColor="text1" w:themeTint="A6"/>
      <w:kern w:val="0"/>
      <w:sz w:val="24"/>
      <w:szCs w:val="24"/>
      <w:lang w:eastAsia="it-IT"/>
      <w14:ligatures w14:val="none"/>
    </w:rPr>
  </w:style>
  <w:style w:type="character" w:customStyle="1" w:styleId="Titolo7Carattere">
    <w:name w:val="Titolo 7 Carattere"/>
    <w:basedOn w:val="Carpredefinitoparagrafo"/>
    <w:link w:val="Titolo7"/>
    <w:uiPriority w:val="9"/>
    <w:semiHidden/>
    <w:rsid w:val="00A61D10"/>
    <w:rPr>
      <w:rFonts w:ascii="Times New Roman" w:eastAsiaTheme="majorEastAsia" w:hAnsi="Times New Roman" w:cstheme="majorBidi"/>
      <w:color w:val="595959" w:themeColor="text1" w:themeTint="A6"/>
      <w:kern w:val="0"/>
      <w:sz w:val="24"/>
      <w:szCs w:val="24"/>
      <w:lang w:eastAsia="it-IT"/>
      <w14:ligatures w14:val="none"/>
    </w:rPr>
  </w:style>
  <w:style w:type="character" w:customStyle="1" w:styleId="Titolo8Carattere">
    <w:name w:val="Titolo 8 Carattere"/>
    <w:basedOn w:val="Carpredefinitoparagrafo"/>
    <w:link w:val="Titolo8"/>
    <w:uiPriority w:val="9"/>
    <w:semiHidden/>
    <w:rsid w:val="00A61D10"/>
    <w:rPr>
      <w:rFonts w:ascii="Times New Roman" w:eastAsiaTheme="majorEastAsia" w:hAnsi="Times New Roman" w:cstheme="majorBidi"/>
      <w:i/>
      <w:iCs/>
      <w:color w:val="272727" w:themeColor="text1" w:themeTint="D8"/>
      <w:kern w:val="0"/>
      <w:sz w:val="24"/>
      <w:szCs w:val="24"/>
      <w:lang w:eastAsia="it-IT"/>
      <w14:ligatures w14:val="none"/>
    </w:rPr>
  </w:style>
  <w:style w:type="character" w:customStyle="1" w:styleId="Titolo9Carattere">
    <w:name w:val="Titolo 9 Carattere"/>
    <w:basedOn w:val="Carpredefinitoparagrafo"/>
    <w:link w:val="Titolo9"/>
    <w:uiPriority w:val="9"/>
    <w:semiHidden/>
    <w:rsid w:val="00A61D10"/>
    <w:rPr>
      <w:rFonts w:ascii="Times New Roman" w:eastAsiaTheme="majorEastAsia" w:hAnsi="Times New Roman" w:cstheme="majorBidi"/>
      <w:color w:val="272727" w:themeColor="text1" w:themeTint="D8"/>
      <w:kern w:val="0"/>
      <w:sz w:val="24"/>
      <w:szCs w:val="24"/>
      <w:lang w:eastAsia="it-IT"/>
      <w14:ligatures w14:val="none"/>
    </w:rPr>
  </w:style>
  <w:style w:type="paragraph" w:styleId="Titolo">
    <w:name w:val="Title"/>
    <w:basedOn w:val="Normale"/>
    <w:next w:val="Normale"/>
    <w:link w:val="TitoloCarattere"/>
    <w:uiPriority w:val="10"/>
    <w:qFormat/>
    <w:rsid w:val="00A61D1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61D10"/>
    <w:rPr>
      <w:rFonts w:asciiTheme="majorHAnsi" w:eastAsiaTheme="majorEastAsia" w:hAnsiTheme="majorHAnsi" w:cstheme="majorBidi"/>
      <w:spacing w:val="-10"/>
      <w:kern w:val="28"/>
      <w:sz w:val="56"/>
      <w:szCs w:val="56"/>
      <w:lang w:eastAsia="it-IT"/>
      <w14:ligatures w14:val="none"/>
    </w:rPr>
  </w:style>
  <w:style w:type="paragraph" w:styleId="Sottotitolo">
    <w:name w:val="Subtitle"/>
    <w:basedOn w:val="Normale"/>
    <w:next w:val="Normale"/>
    <w:link w:val="SottotitoloCarattere"/>
    <w:uiPriority w:val="11"/>
    <w:qFormat/>
    <w:rsid w:val="00A61D1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61D1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61D1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61D10"/>
    <w:rPr>
      <w:i/>
      <w:iCs/>
      <w:color w:val="404040" w:themeColor="text1" w:themeTint="BF"/>
    </w:rPr>
  </w:style>
  <w:style w:type="paragraph" w:styleId="Paragrafoelenco">
    <w:name w:val="List Paragraph"/>
    <w:basedOn w:val="Normale"/>
    <w:uiPriority w:val="34"/>
    <w:qFormat/>
    <w:rsid w:val="00A61D10"/>
    <w:pPr>
      <w:ind w:left="720"/>
      <w:contextualSpacing/>
    </w:pPr>
  </w:style>
  <w:style w:type="character" w:styleId="Enfasiintensa">
    <w:name w:val="Intense Emphasis"/>
    <w:basedOn w:val="Carpredefinitoparagrafo"/>
    <w:uiPriority w:val="21"/>
    <w:qFormat/>
    <w:rsid w:val="00A61D10"/>
    <w:rPr>
      <w:i/>
      <w:iCs/>
      <w:color w:val="0F4761" w:themeColor="accent1" w:themeShade="BF"/>
    </w:rPr>
  </w:style>
  <w:style w:type="paragraph" w:styleId="Citazioneintensa">
    <w:name w:val="Intense Quote"/>
    <w:basedOn w:val="Normale"/>
    <w:next w:val="Normale"/>
    <w:link w:val="CitazioneintensaCarattere"/>
    <w:uiPriority w:val="30"/>
    <w:qFormat/>
    <w:rsid w:val="00A61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61D10"/>
    <w:rPr>
      <w:i/>
      <w:iCs/>
      <w:color w:val="0F4761" w:themeColor="accent1" w:themeShade="BF"/>
    </w:rPr>
  </w:style>
  <w:style w:type="character" w:styleId="Riferimentointenso">
    <w:name w:val="Intense Reference"/>
    <w:basedOn w:val="Carpredefinitoparagrafo"/>
    <w:uiPriority w:val="32"/>
    <w:qFormat/>
    <w:rsid w:val="00A61D10"/>
    <w:rPr>
      <w:b/>
      <w:bCs/>
      <w:smallCaps/>
      <w:color w:val="0F4761" w:themeColor="accent1" w:themeShade="BF"/>
      <w:spacing w:val="5"/>
    </w:rPr>
  </w:style>
  <w:style w:type="character" w:customStyle="1" w:styleId="comma-num-akn">
    <w:name w:val="comma-num-akn"/>
    <w:basedOn w:val="Carpredefinitoparagrafo"/>
    <w:rsid w:val="00D734BC"/>
  </w:style>
  <w:style w:type="character" w:customStyle="1" w:styleId="arttextincomma">
    <w:name w:val="art_text_in_comma"/>
    <w:basedOn w:val="Carpredefinitoparagrafo"/>
    <w:rsid w:val="00D734BC"/>
  </w:style>
  <w:style w:type="character" w:styleId="Rimandocommento">
    <w:name w:val="annotation reference"/>
    <w:basedOn w:val="Carpredefinitoparagrafo"/>
    <w:uiPriority w:val="99"/>
    <w:semiHidden/>
    <w:unhideWhenUsed/>
    <w:rsid w:val="0053115F"/>
    <w:rPr>
      <w:sz w:val="16"/>
      <w:szCs w:val="16"/>
    </w:rPr>
  </w:style>
  <w:style w:type="paragraph" w:styleId="Testocommento">
    <w:name w:val="annotation text"/>
    <w:basedOn w:val="Normale"/>
    <w:link w:val="TestocommentoCarattere"/>
    <w:uiPriority w:val="99"/>
    <w:unhideWhenUsed/>
    <w:rsid w:val="0053115F"/>
    <w:rPr>
      <w:sz w:val="20"/>
      <w:szCs w:val="20"/>
    </w:rPr>
  </w:style>
  <w:style w:type="character" w:customStyle="1" w:styleId="TestocommentoCarattere">
    <w:name w:val="Testo commento Carattere"/>
    <w:basedOn w:val="Carpredefinitoparagrafo"/>
    <w:link w:val="Testocommento"/>
    <w:uiPriority w:val="99"/>
    <w:rsid w:val="0053115F"/>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53115F"/>
    <w:rPr>
      <w:b/>
      <w:bCs/>
    </w:rPr>
  </w:style>
  <w:style w:type="character" w:customStyle="1" w:styleId="SoggettocommentoCarattere">
    <w:name w:val="Soggetto commento Carattere"/>
    <w:basedOn w:val="TestocommentoCarattere"/>
    <w:link w:val="Soggettocommento"/>
    <w:uiPriority w:val="99"/>
    <w:semiHidden/>
    <w:rsid w:val="0053115F"/>
    <w:rPr>
      <w:rFonts w:ascii="Times New Roman" w:eastAsia="Times New Roman" w:hAnsi="Times New Roman" w:cs="Times New Roman"/>
      <w:b/>
      <w:bCs/>
      <w:kern w:val="0"/>
      <w:sz w:val="20"/>
      <w:szCs w:val="20"/>
      <w:lang w:eastAsia="it-IT"/>
      <w14:ligatures w14:val="none"/>
    </w:rPr>
  </w:style>
  <w:style w:type="character" w:customStyle="1" w:styleId="linkneltesto">
    <w:name w:val="link_nel_testo"/>
    <w:basedOn w:val="Carpredefinitoparagrafo"/>
    <w:rsid w:val="00A274BD"/>
  </w:style>
  <w:style w:type="paragraph" w:customStyle="1" w:styleId="provvr0">
    <w:name w:val="provv_r0"/>
    <w:basedOn w:val="Normale"/>
    <w:rsid w:val="00A274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6562">
      <w:bodyDiv w:val="1"/>
      <w:marLeft w:val="0"/>
      <w:marRight w:val="0"/>
      <w:marTop w:val="0"/>
      <w:marBottom w:val="0"/>
      <w:divBdr>
        <w:top w:val="none" w:sz="0" w:space="0" w:color="auto"/>
        <w:left w:val="none" w:sz="0" w:space="0" w:color="auto"/>
        <w:bottom w:val="none" w:sz="0" w:space="0" w:color="auto"/>
        <w:right w:val="none" w:sz="0" w:space="0" w:color="auto"/>
      </w:divBdr>
    </w:div>
    <w:div w:id="684289894">
      <w:bodyDiv w:val="1"/>
      <w:marLeft w:val="0"/>
      <w:marRight w:val="0"/>
      <w:marTop w:val="0"/>
      <w:marBottom w:val="0"/>
      <w:divBdr>
        <w:top w:val="none" w:sz="0" w:space="0" w:color="auto"/>
        <w:left w:val="none" w:sz="0" w:space="0" w:color="auto"/>
        <w:bottom w:val="none" w:sz="0" w:space="0" w:color="auto"/>
        <w:right w:val="none" w:sz="0" w:space="0" w:color="auto"/>
      </w:divBdr>
      <w:divsChild>
        <w:div w:id="1334990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758639ART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d01.leggiditalia.it/cgi-bin/FulShow?TIPO=5&amp;NOTXT=1&amp;KEY=01LX0000679368ART14" TargetMode="External"/><Relationship Id="rId5" Type="http://schemas.openxmlformats.org/officeDocument/2006/relationships/styles" Target="styles.xml"/><Relationship Id="rId10" Type="http://schemas.openxmlformats.org/officeDocument/2006/relationships/hyperlink" Target="http://bd01.leggiditalia.it/cgi-bin/FulShow?TIPO=5&amp;NOTXT=1&amp;KEY=01LX0000679368ART13" TargetMode="External"/><Relationship Id="rId4" Type="http://schemas.openxmlformats.org/officeDocument/2006/relationships/numbering" Target="numbering.xml"/><Relationship Id="rId9" Type="http://schemas.openxmlformats.org/officeDocument/2006/relationships/hyperlink" Target="http://bd01.leggiditalia.it/cgi-bin/FulShow?TIPO=5&amp;NOTXT=1&amp;KEY=01LX0000758639ART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D898EB2909E7468E488BBA37BADE44" ma:contentTypeVersion="18" ma:contentTypeDescription="Creare un nuovo documento." ma:contentTypeScope="" ma:versionID="3b23a593a7247e772daee56d706d0b40">
  <xsd:schema xmlns:xsd="http://www.w3.org/2001/XMLSchema" xmlns:xs="http://www.w3.org/2001/XMLSchema" xmlns:p="http://schemas.microsoft.com/office/2006/metadata/properties" xmlns:ns2="94064a05-1c70-4720-b5f7-d5e189dbdc5e" xmlns:ns3="4c1933d3-d6b3-4b0f-a2fc-7518dd9434d0" targetNamespace="http://schemas.microsoft.com/office/2006/metadata/properties" ma:root="true" ma:fieldsID="366402c841de3a3a877cb5b7f47b7092" ns2:_="" ns3:_="">
    <xsd:import namespace="94064a05-1c70-4720-b5f7-d5e189dbdc5e"/>
    <xsd:import namespace="4c1933d3-d6b3-4b0f-a2fc-7518dd9434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64a05-1c70-4720-b5f7-d5e189dbd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89d38da7-eff4-4c22-a49c-c284e93df2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1933d3-d6b3-4b0f-a2fc-7518dd9434d0"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d84cb595-494b-4f61-b823-5ec28c49b083}" ma:internalName="TaxCatchAll" ma:showField="CatchAllData" ma:web="4c1933d3-d6b3-4b0f-a2fc-7518dd943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064a05-1c70-4720-b5f7-d5e189dbdc5e">
      <Terms xmlns="http://schemas.microsoft.com/office/infopath/2007/PartnerControls"/>
    </lcf76f155ced4ddcb4097134ff3c332f>
    <TaxCatchAll xmlns="4c1933d3-d6b3-4b0f-a2fc-7518dd9434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2A4C7B-5197-4AEA-A117-C9B628B7B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64a05-1c70-4720-b5f7-d5e189dbdc5e"/>
    <ds:schemaRef ds:uri="4c1933d3-d6b3-4b0f-a2fc-7518dd943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E4C99C-D9F5-4D54-BCA2-AF4B0DB67556}">
  <ds:schemaRefs>
    <ds:schemaRef ds:uri="http://schemas.microsoft.com/office/2006/metadata/properties"/>
    <ds:schemaRef ds:uri="http://schemas.microsoft.com/office/infopath/2007/PartnerControls"/>
    <ds:schemaRef ds:uri="94064a05-1c70-4720-b5f7-d5e189dbdc5e"/>
    <ds:schemaRef ds:uri="4c1933d3-d6b3-4b0f-a2fc-7518dd9434d0"/>
  </ds:schemaRefs>
</ds:datastoreItem>
</file>

<file path=customXml/itemProps3.xml><?xml version="1.0" encoding="utf-8"?>
<ds:datastoreItem xmlns:ds="http://schemas.openxmlformats.org/officeDocument/2006/customXml" ds:itemID="{44F8D25E-0FBF-49C5-BEF8-245E8E3649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560</Words>
  <Characters>3198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Rettore Sonia</dc:creator>
  <cp:keywords/>
  <dc:description/>
  <cp:lastModifiedBy>Mariconti Alessandra</cp:lastModifiedBy>
  <cp:revision>39</cp:revision>
  <dcterms:created xsi:type="dcterms:W3CDTF">2024-07-15T10:08:00Z</dcterms:created>
  <dcterms:modified xsi:type="dcterms:W3CDTF">2024-07-16T09:10:00Z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0x01010088D898EB2909E7468E488BBA37BADE44</vt:lpwstr>
  </property>
  <property fmtid="{D5CDD505-2E9C-101B-9397-08002B2CF9AE}" pid="3" name="MediaServiceImageTags">
    <vt:lpwstr/>
  </property>
</Properties>
</file>