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FB80" w14:textId="77777777" w:rsidR="00871DAF" w:rsidRDefault="00871DAF" w:rsidP="00871DAF">
      <w:pPr>
        <w:spacing w:after="0" w:line="336" w:lineRule="atLeast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Le </w:t>
      </w:r>
      <w:r w:rsidRPr="00871DAF">
        <w:rPr>
          <w:rFonts w:ascii="Trebuchet MS" w:eastAsia="Times New Roman" w:hAnsi="Trebuchet MS" w:cs="Times New Roman"/>
          <w:b/>
          <w:color w:val="2A2A25"/>
          <w:lang w:eastAsia="it-IT"/>
        </w:rPr>
        <w:t>coperture vaccinali nei bambini di 24 mesi di età si attestano sopra lo standard ottimale pari al 95% per quanto riguarda la 3°v. Esavalente</w:t>
      </w:r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 (difterico – tetanica – pertosse – </w:t>
      </w:r>
      <w:proofErr w:type="spellStart"/>
      <w:r w:rsidRPr="00871DAF">
        <w:rPr>
          <w:rFonts w:ascii="Trebuchet MS" w:eastAsia="Times New Roman" w:hAnsi="Trebuchet MS" w:cs="Times New Roman"/>
          <w:color w:val="2A2A25"/>
          <w:lang w:eastAsia="it-IT"/>
        </w:rPr>
        <w:t>haemophilus</w:t>
      </w:r>
      <w:proofErr w:type="spellEnd"/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 </w:t>
      </w:r>
      <w:proofErr w:type="spellStart"/>
      <w:r w:rsidRPr="00871DAF">
        <w:rPr>
          <w:rFonts w:ascii="Trebuchet MS" w:eastAsia="Times New Roman" w:hAnsi="Trebuchet MS" w:cs="Times New Roman"/>
          <w:color w:val="2A2A25"/>
          <w:lang w:eastAsia="it-IT"/>
        </w:rPr>
        <w:t>influenzae</w:t>
      </w:r>
      <w:proofErr w:type="spellEnd"/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 – epatite B e polio) </w:t>
      </w:r>
      <w:r w:rsidRPr="00871DAF">
        <w:rPr>
          <w:rFonts w:ascii="Trebuchet MS" w:eastAsia="Times New Roman" w:hAnsi="Trebuchet MS" w:cs="Times New Roman"/>
          <w:b/>
          <w:color w:val="2A2A25"/>
          <w:lang w:eastAsia="it-IT"/>
        </w:rPr>
        <w:t>e 1°v. MPR</w:t>
      </w:r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 – V (anti morbillo, parotite, rosolia – varicella). Si discostano ancora dal suddetto standard invece, le vaccinazioni contro il </w:t>
      </w:r>
      <w:proofErr w:type="spellStart"/>
      <w:r w:rsidRPr="00871DAF">
        <w:rPr>
          <w:rFonts w:ascii="Trebuchet MS" w:eastAsia="Times New Roman" w:hAnsi="Trebuchet MS" w:cs="Times New Roman"/>
          <w:color w:val="2A2A25"/>
          <w:lang w:eastAsia="it-IT"/>
        </w:rPr>
        <w:t>Rotavirus</w:t>
      </w:r>
      <w:proofErr w:type="spellEnd"/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 e Meningococco B, nonché, in modo più contenuto, la v. Meningococco C.</w:t>
      </w:r>
    </w:p>
    <w:p w14:paraId="76A848CB" w14:textId="77777777" w:rsidR="00871DAF" w:rsidRPr="00871DAF" w:rsidRDefault="00871DAF" w:rsidP="00871DAF">
      <w:pPr>
        <w:spacing w:after="0" w:line="336" w:lineRule="atLeast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</w:p>
    <w:tbl>
      <w:tblPr>
        <w:tblW w:w="4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978"/>
      </w:tblGrid>
      <w:tr w:rsidR="00871DAF" w:rsidRPr="00871DAF" w14:paraId="0BC29BC9" w14:textId="77777777" w:rsidTr="0037255F">
        <w:trPr>
          <w:trHeight w:val="390"/>
          <w:jc w:val="center"/>
        </w:trPr>
        <w:tc>
          <w:tcPr>
            <w:tcW w:w="4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30FD9825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ETA' 24 MESI</w:t>
            </w:r>
          </w:p>
        </w:tc>
      </w:tr>
      <w:tr w:rsidR="00871DAF" w:rsidRPr="00871DAF" w14:paraId="5C3C49F3" w14:textId="77777777" w:rsidTr="0037255F">
        <w:trPr>
          <w:trHeight w:val="375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276A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3a Esavalente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EC97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96,40%</w:t>
            </w:r>
          </w:p>
        </w:tc>
      </w:tr>
      <w:tr w:rsidR="00871DAF" w:rsidRPr="00871DAF" w14:paraId="6A67E12F" w14:textId="77777777" w:rsidTr="0037255F">
        <w:trPr>
          <w:trHeight w:val="375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DB1A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3a Pneumococco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3688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94,70%</w:t>
            </w:r>
          </w:p>
        </w:tc>
      </w:tr>
      <w:tr w:rsidR="00871DAF" w:rsidRPr="00871DAF" w14:paraId="6C73E752" w14:textId="77777777" w:rsidTr="0037255F">
        <w:trPr>
          <w:trHeight w:val="375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C9DA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1a Meningococco C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7AC1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94,00%</w:t>
            </w:r>
          </w:p>
        </w:tc>
      </w:tr>
      <w:tr w:rsidR="00871DAF" w:rsidRPr="00871DAF" w14:paraId="78CFDFA3" w14:textId="77777777" w:rsidTr="0037255F">
        <w:trPr>
          <w:trHeight w:val="375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313F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1a MPR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0C7D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96,30%</w:t>
            </w:r>
          </w:p>
        </w:tc>
      </w:tr>
      <w:tr w:rsidR="00871DAF" w:rsidRPr="00871DAF" w14:paraId="776C3211" w14:textId="77777777" w:rsidTr="0037255F">
        <w:trPr>
          <w:trHeight w:val="375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37450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1a Varicella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03E5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96,00%</w:t>
            </w:r>
          </w:p>
        </w:tc>
      </w:tr>
      <w:tr w:rsidR="00871DAF" w:rsidRPr="00871DAF" w14:paraId="4CFCEA70" w14:textId="77777777" w:rsidTr="0037255F">
        <w:trPr>
          <w:trHeight w:val="375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BA21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2a </w:t>
            </w:r>
            <w:proofErr w:type="spellStart"/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Rotavirus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3285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83,50%</w:t>
            </w:r>
          </w:p>
        </w:tc>
      </w:tr>
      <w:tr w:rsidR="00871DAF" w:rsidRPr="00871DAF" w14:paraId="1790F180" w14:textId="77777777" w:rsidTr="0037255F">
        <w:trPr>
          <w:trHeight w:val="375"/>
          <w:jc w:val="center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787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2a Meningococco B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9B8B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92,90%</w:t>
            </w:r>
          </w:p>
        </w:tc>
      </w:tr>
    </w:tbl>
    <w:p w14:paraId="2E8D7259" w14:textId="77777777" w:rsidR="00871DAF" w:rsidRDefault="00871DAF" w:rsidP="00871DAF">
      <w:pPr>
        <w:spacing w:after="150" w:line="336" w:lineRule="atLeast"/>
        <w:jc w:val="both"/>
        <w:rPr>
          <w:rFonts w:ascii="Trebuchet MS" w:eastAsia="Times New Roman" w:hAnsi="Trebuchet MS" w:cs="Times New Roman"/>
          <w:color w:val="2A2A25"/>
          <w:sz w:val="24"/>
          <w:szCs w:val="29"/>
          <w:lang w:eastAsia="it-IT"/>
        </w:rPr>
      </w:pPr>
    </w:p>
    <w:p w14:paraId="036898AD" w14:textId="77777777" w:rsidR="00871DAF" w:rsidRPr="00871DAF" w:rsidRDefault="00871DAF" w:rsidP="00871DAF">
      <w:pPr>
        <w:spacing w:after="150" w:line="336" w:lineRule="atLeast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Per i bambini di 7 anni, entrambi i richiami vaccinali (4° anti difterico – tetanica- </w:t>
      </w:r>
      <w:proofErr w:type="spellStart"/>
      <w:r w:rsidRPr="00871DAF">
        <w:rPr>
          <w:rFonts w:ascii="Trebuchet MS" w:eastAsia="Times New Roman" w:hAnsi="Trebuchet MS" w:cs="Times New Roman"/>
          <w:color w:val="2A2A25"/>
          <w:lang w:eastAsia="it-IT"/>
        </w:rPr>
        <w:t>pertossica</w:t>
      </w:r>
      <w:proofErr w:type="spellEnd"/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 – poliomielite e 2° MPR), sebbene sotto soglia rispetto allo standard atteso (95%) mostrano, nel corso degli ultimi anni, un trend in aumento.</w:t>
      </w:r>
    </w:p>
    <w:tbl>
      <w:tblPr>
        <w:tblW w:w="63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0"/>
        <w:gridCol w:w="978"/>
      </w:tblGrid>
      <w:tr w:rsidR="00871DAF" w:rsidRPr="00871DAF" w14:paraId="021BCF9D" w14:textId="77777777" w:rsidTr="0037255F">
        <w:trPr>
          <w:trHeight w:val="390"/>
          <w:jc w:val="center"/>
        </w:trPr>
        <w:tc>
          <w:tcPr>
            <w:tcW w:w="6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5EB5DE3E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ETA’ 7 ANNI</w:t>
            </w:r>
          </w:p>
        </w:tc>
      </w:tr>
      <w:tr w:rsidR="00871DAF" w:rsidRPr="00871DAF" w14:paraId="2455DC9D" w14:textId="77777777" w:rsidTr="0037255F">
        <w:trPr>
          <w:trHeight w:val="375"/>
          <w:jc w:val="center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5A67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4a DTP Polio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0D3D" w14:textId="77777777" w:rsidR="00871DAF" w:rsidRPr="00871DAF" w:rsidRDefault="00871DAF" w:rsidP="00372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94,30%</w:t>
            </w:r>
          </w:p>
        </w:tc>
      </w:tr>
      <w:tr w:rsidR="00871DAF" w:rsidRPr="00871DAF" w14:paraId="3DBD7E48" w14:textId="77777777" w:rsidTr="0037255F">
        <w:trPr>
          <w:trHeight w:val="375"/>
          <w:jc w:val="center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4BD4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2a MPR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C0DB" w14:textId="77777777" w:rsidR="00871DAF" w:rsidRPr="00871DAF" w:rsidRDefault="00871DAF" w:rsidP="00372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94,50%</w:t>
            </w:r>
          </w:p>
        </w:tc>
      </w:tr>
    </w:tbl>
    <w:p w14:paraId="29A25937" w14:textId="77777777" w:rsidR="00871DAF" w:rsidRDefault="00871DAF" w:rsidP="00871DAF">
      <w:pPr>
        <w:spacing w:line="276" w:lineRule="auto"/>
        <w:jc w:val="center"/>
      </w:pPr>
    </w:p>
    <w:p w14:paraId="54454A47" w14:textId="77777777" w:rsidR="00871DAF" w:rsidRPr="00871DAF" w:rsidRDefault="00871DAF" w:rsidP="00871DAF">
      <w:pPr>
        <w:spacing w:line="276" w:lineRule="auto"/>
        <w:jc w:val="center"/>
      </w:pPr>
      <w:bookmarkStart w:id="0" w:name="_GoBack"/>
      <w:bookmarkEnd w:id="0"/>
      <w:r w:rsidRPr="00871DAF">
        <w:rPr>
          <w:noProof/>
          <w:lang w:eastAsia="it-IT"/>
        </w:rPr>
        <w:drawing>
          <wp:inline distT="0" distB="0" distL="0" distR="0" wp14:anchorId="54547966" wp14:editId="47C231F8">
            <wp:extent cx="4857750" cy="3105150"/>
            <wp:effectExtent l="0" t="0" r="0" b="0"/>
            <wp:docPr id="6" name="Gra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3F6196" w14:textId="77777777" w:rsidR="00871DAF" w:rsidRPr="00871DAF" w:rsidRDefault="00871DAF" w:rsidP="00871DAF">
      <w:pPr>
        <w:spacing w:after="150" w:line="336" w:lineRule="atLeast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</w:p>
    <w:p w14:paraId="778F5828" w14:textId="77777777" w:rsidR="00871DAF" w:rsidRPr="00871DAF" w:rsidRDefault="00871DAF" w:rsidP="00871DAF">
      <w:pPr>
        <w:spacing w:after="150" w:line="336" w:lineRule="atLeast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  <w:r w:rsidRPr="00871DAF">
        <w:rPr>
          <w:rFonts w:ascii="Trebuchet MS" w:eastAsia="Times New Roman" w:hAnsi="Trebuchet MS" w:cs="Times New Roman"/>
          <w:color w:val="2A2A25"/>
          <w:lang w:eastAsia="it-IT"/>
        </w:rPr>
        <w:t>I valori di copertura più critici rimangono quelli relativi agli adolescenti.</w:t>
      </w:r>
    </w:p>
    <w:tbl>
      <w:tblPr>
        <w:tblW w:w="4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1351"/>
      </w:tblGrid>
      <w:tr w:rsidR="00871DAF" w:rsidRPr="00871DAF" w14:paraId="1F66DAA7" w14:textId="77777777" w:rsidTr="0037255F">
        <w:trPr>
          <w:trHeight w:val="315"/>
          <w:jc w:val="center"/>
        </w:trPr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14:paraId="5135FE3A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12 ANNI</w:t>
            </w:r>
          </w:p>
        </w:tc>
      </w:tr>
      <w:tr w:rsidR="00871DAF" w:rsidRPr="00871DAF" w14:paraId="0F311284" w14:textId="77777777" w:rsidTr="0037255F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FB81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2a HPV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5E9A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76,2%</w:t>
            </w:r>
          </w:p>
        </w:tc>
      </w:tr>
      <w:tr w:rsidR="00871DAF" w:rsidRPr="00871DAF" w14:paraId="7C315313" w14:textId="77777777" w:rsidTr="0037255F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9E3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1A Men ACWY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728C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83,8%</w:t>
            </w:r>
          </w:p>
        </w:tc>
      </w:tr>
      <w:tr w:rsidR="00871DAF" w:rsidRPr="00871DAF" w14:paraId="4EC343FD" w14:textId="77777777" w:rsidTr="0037255F">
        <w:trPr>
          <w:trHeight w:val="315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0787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5a DTP Polio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0D4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76,9%</w:t>
            </w:r>
          </w:p>
        </w:tc>
      </w:tr>
      <w:tr w:rsidR="00871DAF" w:rsidRPr="00871DAF" w14:paraId="04E82BAE" w14:textId="77777777" w:rsidTr="0037255F">
        <w:trPr>
          <w:trHeight w:val="315"/>
          <w:jc w:val="center"/>
        </w:trPr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34142BFC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17 ANNI</w:t>
            </w:r>
          </w:p>
        </w:tc>
      </w:tr>
      <w:tr w:rsidR="00871DAF" w:rsidRPr="00871DAF" w14:paraId="6802E451" w14:textId="77777777" w:rsidTr="0037255F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07A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5a Polio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FFD" w14:textId="77777777" w:rsidR="00871DAF" w:rsidRPr="00871DAF" w:rsidRDefault="00871DAF" w:rsidP="00372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88,1%</w:t>
            </w:r>
          </w:p>
        </w:tc>
      </w:tr>
      <w:tr w:rsidR="00871DAF" w:rsidRPr="00871DAF" w14:paraId="63ECFB78" w14:textId="77777777" w:rsidTr="0037255F">
        <w:trPr>
          <w:trHeight w:val="300"/>
          <w:jc w:val="center"/>
        </w:trPr>
        <w:tc>
          <w:tcPr>
            <w:tcW w:w="3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D53C" w14:textId="77777777" w:rsidR="00871DAF" w:rsidRPr="00871DAF" w:rsidRDefault="00871DAF" w:rsidP="003725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1A Men ACWY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4886" w14:textId="77777777" w:rsidR="00871DAF" w:rsidRPr="00871DAF" w:rsidRDefault="00871DAF" w:rsidP="003725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71DAF">
              <w:rPr>
                <w:rFonts w:ascii="Calibri" w:eastAsia="Times New Roman" w:hAnsi="Calibri" w:cs="Calibri"/>
                <w:color w:val="000000"/>
                <w:lang w:eastAsia="it-IT"/>
              </w:rPr>
              <w:t>83,9%</w:t>
            </w:r>
          </w:p>
        </w:tc>
      </w:tr>
    </w:tbl>
    <w:p w14:paraId="15780CAE" w14:textId="77777777" w:rsidR="00871DAF" w:rsidRPr="00871DAF" w:rsidRDefault="00871DAF" w:rsidP="00871DAF">
      <w:pPr>
        <w:spacing w:after="150" w:line="336" w:lineRule="atLeast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</w:p>
    <w:p w14:paraId="398B19C5" w14:textId="77777777" w:rsidR="00871DAF" w:rsidRPr="00871DAF" w:rsidRDefault="00871DAF" w:rsidP="00871DAF">
      <w:pPr>
        <w:spacing w:after="100" w:afterAutospacing="1" w:line="240" w:lineRule="auto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  <w:r w:rsidRPr="00871DAF">
        <w:rPr>
          <w:rFonts w:ascii="Trebuchet MS" w:eastAsia="Times New Roman" w:hAnsi="Trebuchet MS" w:cs="Times New Roman"/>
          <w:color w:val="2A2A25"/>
          <w:lang w:eastAsia="it-IT"/>
        </w:rPr>
        <w:t>“Raccomandiamo l’adesione alla vaccinazione anti Papilloma virus (HPV) per le ragazze e i ragazzi nel 12° anno di vita: questa vaccinazione rappresenta, infatti, uno strumento fondamentale per la prevenzione del quinto tumore maligno con maggior incidenza nelle donne, ovvero il tumore della cervice uterina che, in oltre il 98% dei casi, è determinato da alcuni ceppi di HPV, trasmessi per via sessuale, in grado di alterare le cellule del collo dell’utero determinandone, nel tempo, l’evoluzione tumorale maligna”.</w:t>
      </w:r>
    </w:p>
    <w:p w14:paraId="28687B00" w14:textId="77777777" w:rsidR="00871DAF" w:rsidRPr="00871DAF" w:rsidRDefault="00871DAF" w:rsidP="00871DAF">
      <w:pPr>
        <w:spacing w:after="100" w:afterAutospacing="1" w:line="240" w:lineRule="auto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</w:p>
    <w:p w14:paraId="4B438012" w14:textId="77777777" w:rsidR="00871DAF" w:rsidRPr="00871DAF" w:rsidRDefault="00871DAF" w:rsidP="00871DAF">
      <w:pPr>
        <w:spacing w:after="100" w:afterAutospacing="1" w:line="240" w:lineRule="auto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  <w:r w:rsidRPr="00871DAF">
        <w:rPr>
          <w:rFonts w:ascii="Trebuchet MS" w:eastAsia="Times New Roman" w:hAnsi="Trebuchet MS" w:cs="Times New Roman"/>
          <w:color w:val="2A2A25"/>
          <w:lang w:eastAsia="it-IT"/>
        </w:rPr>
        <w:t>I virus HPV sono correlabili anche a tumori maligni in altre sedi del corpo, a carico di entrambi i sessi. “Suggeriamo quindi di verificare lo stato vaccinale degli adolescenti per controllare i richiami del vaccino HPV: è possibile, infatti, prenotare la seduta vaccinale nel caso sia da recuperare la copertura”.</w:t>
      </w:r>
    </w:p>
    <w:p w14:paraId="779520E8" w14:textId="77777777" w:rsidR="00871DAF" w:rsidRPr="00871DAF" w:rsidRDefault="00871DAF" w:rsidP="00871DAF">
      <w:pPr>
        <w:spacing w:after="100" w:afterAutospacing="1" w:line="240" w:lineRule="auto"/>
        <w:jc w:val="both"/>
        <w:rPr>
          <w:rFonts w:ascii="Trebuchet MS" w:eastAsia="Times New Roman" w:hAnsi="Trebuchet MS" w:cs="Times New Roman"/>
          <w:color w:val="2A2A25"/>
          <w:lang w:eastAsia="it-IT"/>
        </w:rPr>
      </w:pPr>
    </w:p>
    <w:p w14:paraId="2F1C537A" w14:textId="77777777" w:rsidR="00CD34AA" w:rsidRPr="00871DAF" w:rsidRDefault="00871DAF" w:rsidP="00871DAF">
      <w:pPr>
        <w:spacing w:after="100" w:afterAutospacing="1" w:line="240" w:lineRule="auto"/>
        <w:jc w:val="both"/>
      </w:pPr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“Caldeggiamo, inoltre, una maggiore adesione alla vaccinazione antimeningococcica (Men ACWY) da parte degli adolescenti” concludono dalla direzione di ATS </w:t>
      </w:r>
      <w:proofErr w:type="spellStart"/>
      <w:r w:rsidRPr="00871DAF">
        <w:rPr>
          <w:rFonts w:ascii="Trebuchet MS" w:eastAsia="Times New Roman" w:hAnsi="Trebuchet MS" w:cs="Times New Roman"/>
          <w:color w:val="2A2A25"/>
          <w:lang w:eastAsia="it-IT"/>
        </w:rPr>
        <w:t>Insubria</w:t>
      </w:r>
      <w:proofErr w:type="spellEnd"/>
      <w:r w:rsidRPr="00871DAF">
        <w:rPr>
          <w:rFonts w:ascii="Trebuchet MS" w:eastAsia="Times New Roman" w:hAnsi="Trebuchet MS" w:cs="Times New Roman"/>
          <w:color w:val="2A2A25"/>
          <w:lang w:eastAsia="it-IT"/>
        </w:rPr>
        <w:t xml:space="preserve">. La malattia invasiva da meningococco, trasmessa per via aerea, interessa prevalentemente i giovani e può portare a quadri clinici di meningite o sepsi estremamente gravi. </w:t>
      </w:r>
    </w:p>
    <w:sectPr w:rsidR="00CD34AA" w:rsidRPr="00871DA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7B97D" w14:textId="77777777" w:rsidR="00871DAF" w:rsidRDefault="00871DAF" w:rsidP="00871DAF">
      <w:pPr>
        <w:spacing w:after="0" w:line="240" w:lineRule="auto"/>
      </w:pPr>
      <w:r>
        <w:separator/>
      </w:r>
    </w:p>
  </w:endnote>
  <w:endnote w:type="continuationSeparator" w:id="0">
    <w:p w14:paraId="587D4C8E" w14:textId="77777777" w:rsidR="00871DAF" w:rsidRDefault="00871DAF" w:rsidP="0087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D0EB" w14:textId="77777777" w:rsidR="00871DAF" w:rsidRDefault="00871DAF" w:rsidP="00871DAF">
    <w:pPr>
      <w:pStyle w:val="Pidipagina"/>
      <w:tabs>
        <w:tab w:val="left" w:pos="6885"/>
      </w:tabs>
    </w:pPr>
    <w:r>
      <w:tab/>
    </w:r>
    <w:r>
      <w:tab/>
    </w:r>
    <w:r>
      <w:tab/>
    </w:r>
    <w:r w:rsidRPr="00871DAF">
      <w:drawing>
        <wp:inline distT="0" distB="0" distL="0" distR="0" wp14:anchorId="6EC4211F" wp14:editId="7537A04A">
          <wp:extent cx="1379573" cy="711200"/>
          <wp:effectExtent l="0" t="0" r="0" b="0"/>
          <wp:docPr id="9" name="object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ject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4644" cy="71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8B8E" w14:textId="77777777" w:rsidR="00871DAF" w:rsidRDefault="00871DAF" w:rsidP="00871DAF">
      <w:pPr>
        <w:spacing w:after="0" w:line="240" w:lineRule="auto"/>
      </w:pPr>
      <w:r>
        <w:separator/>
      </w:r>
    </w:p>
  </w:footnote>
  <w:footnote w:type="continuationSeparator" w:id="0">
    <w:p w14:paraId="346777E6" w14:textId="77777777" w:rsidR="00871DAF" w:rsidRDefault="00871DAF" w:rsidP="0087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F4788" w14:textId="77777777" w:rsidR="00871DAF" w:rsidRPr="00871DAF" w:rsidRDefault="00871DAF" w:rsidP="00871DAF">
    <w:pPr>
      <w:spacing w:after="150" w:line="336" w:lineRule="atLeast"/>
      <w:jc w:val="center"/>
      <w:rPr>
        <w:rFonts w:ascii="Trebuchet MS" w:eastAsia="Times New Roman" w:hAnsi="Trebuchet MS" w:cs="Times New Roman"/>
        <w:b/>
        <w:color w:val="008000"/>
        <w:sz w:val="28"/>
        <w:szCs w:val="28"/>
        <w:lang w:eastAsia="it-IT"/>
      </w:rPr>
    </w:pPr>
    <w:r w:rsidRPr="00871DAF">
      <w:rPr>
        <w:rFonts w:ascii="Trebuchet MS" w:eastAsia="Times New Roman" w:hAnsi="Trebuchet MS" w:cs="Times New Roman"/>
        <w:b/>
        <w:color w:val="008000"/>
        <w:sz w:val="28"/>
        <w:szCs w:val="28"/>
        <w:lang w:eastAsia="it-IT"/>
      </w:rPr>
      <w:t xml:space="preserve">Coperture vaccinali in ATS </w:t>
    </w:r>
    <w:proofErr w:type="spellStart"/>
    <w:r w:rsidRPr="00871DAF">
      <w:rPr>
        <w:rFonts w:ascii="Trebuchet MS" w:eastAsia="Times New Roman" w:hAnsi="Trebuchet MS" w:cs="Times New Roman"/>
        <w:b/>
        <w:color w:val="008000"/>
        <w:sz w:val="28"/>
        <w:szCs w:val="28"/>
        <w:lang w:eastAsia="it-IT"/>
      </w:rPr>
      <w:t>Insubria</w:t>
    </w:r>
    <w:proofErr w:type="spellEnd"/>
    <w:r w:rsidRPr="00871DAF">
      <w:rPr>
        <w:rFonts w:ascii="Trebuchet MS" w:eastAsia="Times New Roman" w:hAnsi="Trebuchet MS" w:cs="Times New Roman"/>
        <w:b/>
        <w:color w:val="008000"/>
        <w:sz w:val="28"/>
        <w:szCs w:val="28"/>
        <w:lang w:eastAsia="it-IT"/>
      </w:rPr>
      <w:t xml:space="preserve"> aggiornate al 31/12/2023</w:t>
    </w:r>
  </w:p>
  <w:p w14:paraId="5A180C03" w14:textId="77777777" w:rsidR="00871DAF" w:rsidRDefault="00871D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AF"/>
    <w:rsid w:val="00871DAF"/>
    <w:rsid w:val="00C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7558"/>
  <w15:chartTrackingRefBased/>
  <w15:docId w15:val="{3CC8B69A-B988-45B1-B215-6BD84291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1DA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D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DAF"/>
  </w:style>
  <w:style w:type="paragraph" w:styleId="Pidipagina">
    <w:name w:val="footer"/>
    <w:basedOn w:val="Normale"/>
    <w:link w:val="PidipaginaCarattere"/>
    <w:uiPriority w:val="99"/>
    <w:unhideWhenUsed/>
    <w:rsid w:val="00871D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igionattia\AppData\Local\Temp\MicrosoftEdgeDownloads\7a48c7b6-5b01-482b-994c-0e17c920588b\albi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7 ANNI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Foglio1!$A$8</c:f>
              <c:strCache>
                <c:ptCount val="1"/>
                <c:pt idx="0">
                  <c:v>Al 31/12/2022 Coorte 2015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0.11241830065359477"/>
                  <c:y val="8.5889570552147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271-471B-8EA9-F85C26EFC581}"/>
                </c:ext>
              </c:extLst>
            </c:dLbl>
            <c:dLbl>
              <c:idx val="1"/>
              <c:layout>
                <c:manualLayout>
                  <c:x val="-0.10718954248366012"/>
                  <c:y val="8.17995910020450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271-471B-8EA9-F85C26EFC5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Foglio1!$B$7:$C$7</c:f>
              <c:strCache>
                <c:ptCount val="2"/>
                <c:pt idx="0">
                  <c:v>4a DTPpolio</c:v>
                </c:pt>
                <c:pt idx="1">
                  <c:v>2a MPR</c:v>
                </c:pt>
              </c:strCache>
            </c:strRef>
          </c:cat>
          <c:val>
            <c:numRef>
              <c:f>Foglio1!$B$8:$C$8</c:f>
              <c:numCache>
                <c:formatCode>0.0%</c:formatCode>
                <c:ptCount val="2"/>
                <c:pt idx="0">
                  <c:v>0.94099999999999995</c:v>
                </c:pt>
                <c:pt idx="1">
                  <c:v>0.94299999999999995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71-471B-8EA9-F85C26EFC581}"/>
            </c:ext>
          </c:extLst>
        </c:ser>
        <c:ser>
          <c:idx val="1"/>
          <c:order val="1"/>
          <c:tx>
            <c:strRef>
              <c:f>Foglio1!$A$9</c:f>
              <c:strCache>
                <c:ptCount val="1"/>
                <c:pt idx="0">
                  <c:v>Al 31/12/2023 Coorte 2016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accent1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0.10196078431372549"/>
                  <c:y val="7.7709611451942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271-471B-8EA9-F85C26EFC581}"/>
                </c:ext>
              </c:extLst>
            </c:dLbl>
            <c:dLbl>
              <c:idx val="1"/>
              <c:layout>
                <c:manualLayout>
                  <c:x val="0.1150326797385619"/>
                  <c:y val="7.770961145194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271-471B-8EA9-F85C26EFC5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Foglio1!$B$7:$C$7</c:f>
              <c:strCache>
                <c:ptCount val="2"/>
                <c:pt idx="0">
                  <c:v>4a DTPpolio</c:v>
                </c:pt>
                <c:pt idx="1">
                  <c:v>2a MPR</c:v>
                </c:pt>
              </c:strCache>
            </c:strRef>
          </c:cat>
          <c:val>
            <c:numRef>
              <c:f>Foglio1!$B$9:$C$9</c:f>
              <c:numCache>
                <c:formatCode>0.0%</c:formatCode>
                <c:ptCount val="2"/>
                <c:pt idx="0">
                  <c:v>0.94299999999999995</c:v>
                </c:pt>
                <c:pt idx="1">
                  <c:v>0.94499999999999995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271-471B-8EA9-F85C26EFC5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06049807"/>
        <c:axId val="906055215"/>
      </c:barChart>
      <c:catAx>
        <c:axId val="906049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06055215"/>
        <c:crosses val="autoZero"/>
        <c:auto val="1"/>
        <c:lblAlgn val="ctr"/>
        <c:lblOffset val="100"/>
        <c:noMultiLvlLbl val="0"/>
      </c:catAx>
      <c:valAx>
        <c:axId val="906055215"/>
        <c:scaling>
          <c:orientation val="minMax"/>
          <c:max val="1"/>
          <c:min val="0.7500000000000001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9060498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7671E69060D459F24271147BD488C" ma:contentTypeVersion="15" ma:contentTypeDescription="Creare un nuovo documento." ma:contentTypeScope="" ma:versionID="edc16e6835eac16e9adc8a35bf358ec2">
  <xsd:schema xmlns:xsd="http://www.w3.org/2001/XMLSchema" xmlns:xs="http://www.w3.org/2001/XMLSchema" xmlns:p="http://schemas.microsoft.com/office/2006/metadata/properties" xmlns:ns3="8dc09d8a-e4ab-42fa-afa2-1aa321a495a3" xmlns:ns4="7d4589bd-b7c4-4287-8ad6-477ad0608d1b" targetNamespace="http://schemas.microsoft.com/office/2006/metadata/properties" ma:root="true" ma:fieldsID="602a550a89045dfde18b4b2d3c90710c" ns3:_="" ns4:_="">
    <xsd:import namespace="8dc09d8a-e4ab-42fa-afa2-1aa321a495a3"/>
    <xsd:import namespace="7d4589bd-b7c4-4287-8ad6-477ad0608d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d8a-e4ab-42fa-afa2-1aa321a49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589bd-b7c4-4287-8ad6-477ad0608d1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c09d8a-e4ab-42fa-afa2-1aa321a495a3" xsi:nil="true"/>
  </documentManagement>
</p:properties>
</file>

<file path=customXml/itemProps1.xml><?xml version="1.0" encoding="utf-8"?>
<ds:datastoreItem xmlns:ds="http://schemas.openxmlformats.org/officeDocument/2006/customXml" ds:itemID="{5E4D3AAB-A20A-46A4-B7F5-B8DDB50A1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d8a-e4ab-42fa-afa2-1aa321a495a3"/>
    <ds:schemaRef ds:uri="7d4589bd-b7c4-4287-8ad6-477ad0608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F282E-DD36-4B46-93DD-100F82AEC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CA3A1-20AF-4B12-A350-77C7F39C10D5}">
  <ds:schemaRefs>
    <ds:schemaRef ds:uri="http://purl.org/dc/elements/1.1/"/>
    <ds:schemaRef ds:uri="http://schemas.microsoft.com/office/2006/metadata/properties"/>
    <ds:schemaRef ds:uri="http://purl.org/dc/dcmitype/"/>
    <ds:schemaRef ds:uri="8dc09d8a-e4ab-42fa-afa2-1aa321a495a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4589bd-b7c4-4287-8ad6-477ad0608d1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Botter Anna</dc:creator>
  <cp:keywords/>
  <dc:description/>
  <cp:lastModifiedBy>Botter Anna</cp:lastModifiedBy>
  <cp:revision>1</cp:revision>
  <dcterms:created xsi:type="dcterms:W3CDTF">2024-04-24T09:38:00Z</dcterms:created>
  <dcterms:modified xsi:type="dcterms:W3CDTF">2024-04-24T09:43:00Z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0x0101001B57671E69060D459F24271147BD488C</vt:lpwstr>
  </property>
</Properties>
</file>